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华文中宋" w:hAnsi="华文中宋" w:eastAsia="华文中宋" w:cs="华文中宋"/>
          <w:b/>
          <w:bCs/>
          <w:sz w:val="40"/>
          <w:szCs w:val="40"/>
          <w:lang w:val="en-US" w:eastAsia="zh-CN"/>
        </w:rPr>
      </w:pPr>
      <w:bookmarkStart w:id="0" w:name="_GoBack"/>
      <w:r>
        <w:rPr>
          <w:rFonts w:hint="eastAsia" w:ascii="华文中宋" w:hAnsi="华文中宋" w:eastAsia="华文中宋" w:cs="华文中宋"/>
          <w:b/>
          <w:bCs/>
          <w:sz w:val="40"/>
          <w:szCs w:val="40"/>
          <w:lang w:val="en-US" w:eastAsia="zh-CN"/>
        </w:rPr>
        <w:t>全国应急安全职业联盟</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华文中宋" w:hAnsi="华文中宋" w:eastAsia="华文中宋" w:cs="华文中宋"/>
          <w:b/>
          <w:bCs/>
          <w:sz w:val="40"/>
          <w:szCs w:val="40"/>
          <w:lang w:val="en-US" w:eastAsia="zh-CN"/>
        </w:rPr>
      </w:pPr>
      <w:r>
        <w:rPr>
          <w:rFonts w:hint="eastAsia" w:ascii="华文中宋" w:hAnsi="华文中宋" w:eastAsia="华文中宋" w:cs="华文中宋"/>
          <w:b/>
          <w:bCs/>
          <w:sz w:val="40"/>
          <w:szCs w:val="40"/>
          <w:lang w:val="en-US" w:eastAsia="zh-CN"/>
        </w:rPr>
        <w:t>校际课程互选和学分互认工作实施方案</w:t>
      </w:r>
    </w:p>
    <w:bookmarkEnd w:id="0"/>
    <w:p>
      <w:pPr>
        <w:keepNext w:val="0"/>
        <w:keepLines w:val="0"/>
        <w:pageBreakBefore w:val="0"/>
        <w:widowControl w:val="0"/>
        <w:kinsoku/>
        <w:wordWrap/>
        <w:overflowPunct/>
        <w:topLinePunct w:val="0"/>
        <w:autoSpaceDE/>
        <w:autoSpaceDN/>
        <w:bidi w:val="0"/>
        <w:adjustRightInd w:val="0"/>
        <w:snapToGrid w:val="0"/>
        <w:spacing w:before="313" w:beforeLines="100" w:line="360" w:lineRule="auto"/>
        <w:ind w:firstLine="600" w:firstLineChars="200"/>
        <w:textAlignment w:val="auto"/>
        <w:rPr>
          <w:rFonts w:hint="eastAsia" w:ascii="Times New Roman" w:hAnsi="Times New Roman" w:eastAsia="仿宋_GB2312" w:cstheme="minorBidi"/>
          <w:b w:val="0"/>
          <w:bCs w:val="0"/>
          <w:kern w:val="2"/>
          <w:sz w:val="30"/>
          <w:szCs w:val="30"/>
          <w:lang w:val="en-US" w:eastAsia="zh-CN" w:bidi="ar-SA"/>
        </w:rPr>
      </w:pPr>
      <w:r>
        <w:rPr>
          <w:rFonts w:hint="eastAsia" w:ascii="Times New Roman" w:hAnsi="Times New Roman" w:eastAsia="仿宋_GB2312" w:cstheme="minorBidi"/>
          <w:b w:val="0"/>
          <w:bCs w:val="0"/>
          <w:kern w:val="2"/>
          <w:sz w:val="30"/>
          <w:szCs w:val="30"/>
          <w:lang w:val="en-US" w:eastAsia="zh-CN" w:bidi="ar-SA"/>
        </w:rPr>
        <w:t>为</w:t>
      </w:r>
      <w:r>
        <w:rPr>
          <w:rFonts w:hint="eastAsia" w:ascii="Times New Roman" w:hAnsi="Times New Roman" w:eastAsia="仿宋_GB2312" w:cstheme="minorBidi"/>
          <w:b w:val="0"/>
          <w:bCs w:val="0"/>
          <w:kern w:val="2"/>
          <w:sz w:val="30"/>
          <w:szCs w:val="30"/>
          <w:lang w:val="en-US" w:eastAsia="zh-Hans" w:bidi="ar-SA"/>
        </w:rPr>
        <w:t>深入贯彻落实</w:t>
      </w:r>
      <w:r>
        <w:rPr>
          <w:rFonts w:hint="eastAsia" w:ascii="Times New Roman" w:hAnsi="Times New Roman" w:eastAsia="仿宋_GB2312" w:cstheme="minorBidi"/>
          <w:b w:val="0"/>
          <w:bCs w:val="0"/>
          <w:kern w:val="2"/>
          <w:sz w:val="30"/>
          <w:szCs w:val="30"/>
          <w:lang w:val="en-US" w:eastAsia="zh-CN" w:bidi="ar-SA"/>
        </w:rPr>
        <w:t>国务院</w:t>
      </w:r>
      <w:r>
        <w:rPr>
          <w:rFonts w:hint="eastAsia" w:ascii="Times New Roman" w:hAnsi="Times New Roman" w:eastAsia="仿宋_GB2312" w:cstheme="minorBidi"/>
          <w:b w:val="0"/>
          <w:bCs w:val="0"/>
          <w:kern w:val="2"/>
          <w:sz w:val="30"/>
          <w:szCs w:val="30"/>
          <w:lang w:val="en-US" w:eastAsia="zh-Hans" w:bidi="ar-SA"/>
        </w:rPr>
        <w:t>《国家职业教育改革实施方案》</w:t>
      </w:r>
      <w:r>
        <w:rPr>
          <w:rFonts w:hint="eastAsia" w:ascii="Times New Roman" w:hAnsi="Times New Roman" w:eastAsia="仿宋_GB2312" w:cstheme="minorBidi"/>
          <w:b w:val="0"/>
          <w:bCs w:val="0"/>
          <w:kern w:val="2"/>
          <w:sz w:val="30"/>
          <w:szCs w:val="30"/>
          <w:lang w:val="en-US" w:eastAsia="zh-CN" w:bidi="ar-SA"/>
        </w:rPr>
        <w:t>、教育部</w:t>
      </w:r>
      <w:r>
        <w:rPr>
          <w:rFonts w:hint="eastAsia" w:ascii="Times New Roman" w:hAnsi="Times New Roman" w:eastAsia="仿宋_GB2312" w:cstheme="minorBidi"/>
          <w:b w:val="0"/>
          <w:bCs w:val="0"/>
          <w:kern w:val="2"/>
          <w:sz w:val="30"/>
          <w:szCs w:val="30"/>
          <w:lang w:val="en-US" w:eastAsia="zh-Hans" w:bidi="ar-SA"/>
        </w:rPr>
        <w:t>《</w:t>
      </w:r>
      <w:r>
        <w:rPr>
          <w:rFonts w:hint="eastAsia" w:ascii="Times New Roman" w:hAnsi="Times New Roman" w:eastAsia="仿宋_GB2312" w:cstheme="minorBidi"/>
          <w:b w:val="0"/>
          <w:bCs w:val="0"/>
          <w:kern w:val="2"/>
          <w:sz w:val="30"/>
          <w:szCs w:val="30"/>
          <w:lang w:val="en-US" w:eastAsia="zh-CN" w:bidi="ar-SA"/>
        </w:rPr>
        <w:t>关于推进高等教育学分认定和转换工作的意见</w:t>
      </w:r>
      <w:r>
        <w:rPr>
          <w:rFonts w:hint="eastAsia" w:ascii="Times New Roman" w:hAnsi="Times New Roman" w:eastAsia="仿宋_GB2312" w:cstheme="minorBidi"/>
          <w:b w:val="0"/>
          <w:bCs w:val="0"/>
          <w:kern w:val="2"/>
          <w:sz w:val="30"/>
          <w:szCs w:val="30"/>
          <w:lang w:val="en-US" w:eastAsia="zh-Hans" w:bidi="ar-SA"/>
        </w:rPr>
        <w:t>》</w:t>
      </w:r>
      <w:r>
        <w:rPr>
          <w:rFonts w:hint="eastAsia" w:ascii="Times New Roman" w:hAnsi="Times New Roman" w:eastAsia="仿宋_GB2312" w:cstheme="minorBidi"/>
          <w:b w:val="0"/>
          <w:bCs w:val="0"/>
          <w:kern w:val="2"/>
          <w:sz w:val="30"/>
          <w:szCs w:val="30"/>
          <w:lang w:val="en-US" w:eastAsia="zh-CN" w:bidi="ar-SA"/>
        </w:rPr>
        <w:t>精神</w:t>
      </w:r>
      <w:r>
        <w:rPr>
          <w:rFonts w:hint="eastAsia" w:ascii="Times New Roman" w:hAnsi="Times New Roman" w:eastAsia="仿宋_GB2312" w:cstheme="minorBidi"/>
          <w:b w:val="0"/>
          <w:bCs w:val="0"/>
          <w:kern w:val="2"/>
          <w:sz w:val="30"/>
          <w:szCs w:val="30"/>
          <w:lang w:val="en-US" w:eastAsia="zh-Hans" w:bidi="ar-SA"/>
        </w:rPr>
        <w:t>，</w:t>
      </w:r>
      <w:r>
        <w:rPr>
          <w:rFonts w:hint="eastAsia" w:ascii="Times New Roman" w:hAnsi="Times New Roman" w:eastAsia="仿宋_GB2312" w:cstheme="minorBidi"/>
          <w:b w:val="0"/>
          <w:bCs w:val="0"/>
          <w:kern w:val="2"/>
          <w:sz w:val="30"/>
          <w:szCs w:val="30"/>
          <w:lang w:val="en-US" w:eastAsia="zh-CN" w:bidi="ar-SA"/>
        </w:rPr>
        <w:t>加快</w:t>
      </w:r>
      <w:r>
        <w:rPr>
          <w:rFonts w:hint="eastAsia" w:ascii="Times New Roman" w:hAnsi="Times New Roman" w:eastAsia="仿宋_GB2312" w:cstheme="minorBidi"/>
          <w:b w:val="0"/>
          <w:bCs w:val="0"/>
          <w:kern w:val="2"/>
          <w:sz w:val="30"/>
          <w:szCs w:val="30"/>
          <w:lang w:val="en-US" w:eastAsia="zh-Hans" w:bidi="ar-SA"/>
        </w:rPr>
        <w:t>推进应急安全职业教育联盟成员之间课程互选</w:t>
      </w:r>
      <w:r>
        <w:rPr>
          <w:rFonts w:hint="eastAsia" w:ascii="Times New Roman" w:hAnsi="Times New Roman" w:eastAsia="仿宋_GB2312" w:cstheme="minorBidi"/>
          <w:b w:val="0"/>
          <w:bCs w:val="0"/>
          <w:kern w:val="2"/>
          <w:sz w:val="30"/>
          <w:szCs w:val="30"/>
          <w:lang w:val="en-US" w:eastAsia="zh-CN" w:bidi="ar-SA"/>
        </w:rPr>
        <w:t>、</w:t>
      </w:r>
      <w:r>
        <w:rPr>
          <w:rFonts w:hint="eastAsia" w:ascii="Times New Roman" w:hAnsi="Times New Roman" w:eastAsia="仿宋_GB2312" w:cstheme="minorBidi"/>
          <w:b w:val="0"/>
          <w:bCs w:val="0"/>
          <w:kern w:val="2"/>
          <w:sz w:val="30"/>
          <w:szCs w:val="30"/>
          <w:lang w:val="en-US" w:eastAsia="zh-Hans" w:bidi="ar-SA"/>
        </w:rPr>
        <w:t>学分互认落地，</w:t>
      </w:r>
      <w:r>
        <w:rPr>
          <w:rFonts w:hint="eastAsia" w:ascii="Times New Roman" w:hAnsi="Times New Roman" w:eastAsia="仿宋_GB2312" w:cstheme="minorBidi"/>
          <w:b w:val="0"/>
          <w:bCs w:val="0"/>
          <w:kern w:val="2"/>
          <w:sz w:val="30"/>
          <w:szCs w:val="30"/>
          <w:lang w:val="en-US" w:eastAsia="zh-CN" w:bidi="ar-SA"/>
        </w:rPr>
        <w:t>促进联盟内</w:t>
      </w:r>
      <w:r>
        <w:rPr>
          <w:rFonts w:hint="eastAsia" w:ascii="Times New Roman" w:hAnsi="Times New Roman" w:eastAsia="仿宋_GB2312" w:cstheme="minorBidi"/>
          <w:b w:val="0"/>
          <w:bCs w:val="0"/>
          <w:kern w:val="2"/>
          <w:sz w:val="30"/>
          <w:szCs w:val="30"/>
          <w:lang w:val="en-US" w:eastAsia="zh-Hans" w:bidi="ar-SA"/>
        </w:rPr>
        <w:t>优质教育资源</w:t>
      </w:r>
      <w:r>
        <w:rPr>
          <w:rFonts w:hint="eastAsia" w:ascii="Times New Roman" w:hAnsi="Times New Roman" w:eastAsia="仿宋_GB2312" w:cstheme="minorBidi"/>
          <w:b w:val="0"/>
          <w:bCs w:val="0"/>
          <w:kern w:val="2"/>
          <w:sz w:val="30"/>
          <w:szCs w:val="30"/>
          <w:lang w:val="en-US" w:eastAsia="zh-CN" w:bidi="ar-SA"/>
        </w:rPr>
        <w:t>开放共享，</w:t>
      </w:r>
      <w:r>
        <w:rPr>
          <w:rFonts w:hint="eastAsia" w:ascii="Times New Roman" w:hAnsi="Times New Roman" w:eastAsia="仿宋_GB2312" w:cstheme="minorBidi"/>
          <w:b w:val="0"/>
          <w:bCs w:val="0"/>
          <w:kern w:val="2"/>
          <w:sz w:val="30"/>
          <w:szCs w:val="30"/>
          <w:lang w:val="en-US" w:eastAsia="zh-Hans" w:bidi="ar-SA"/>
        </w:rPr>
        <w:t>进一步创新应急安全高素质技术技能型人才的培养模式，提升应急安全类职业院校人才培养</w:t>
      </w:r>
      <w:r>
        <w:rPr>
          <w:rFonts w:hint="eastAsia" w:ascii="Times New Roman" w:hAnsi="Times New Roman" w:eastAsia="仿宋_GB2312" w:cstheme="minorBidi"/>
          <w:b w:val="0"/>
          <w:bCs w:val="0"/>
          <w:kern w:val="2"/>
          <w:sz w:val="30"/>
          <w:szCs w:val="30"/>
          <w:lang w:val="en-US" w:eastAsia="zh-CN" w:bidi="ar-SA"/>
        </w:rPr>
        <w:t>质量，制定本方案。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00" w:firstLineChars="200"/>
        <w:jc w:val="both"/>
        <w:textAlignment w:val="auto"/>
        <w:rPr>
          <w:rFonts w:hint="default" w:ascii="黑体" w:hAnsi="黑体" w:eastAsia="黑体" w:cs="黑体"/>
          <w:sz w:val="30"/>
          <w:szCs w:val="30"/>
          <w:lang w:val="en-US" w:eastAsia="zh-CN"/>
        </w:rPr>
      </w:pPr>
      <w:r>
        <w:rPr>
          <w:rFonts w:hint="eastAsia" w:ascii="黑体" w:hAnsi="黑体" w:eastAsia="黑体" w:cs="黑体"/>
          <w:sz w:val="30"/>
          <w:szCs w:val="30"/>
          <w:lang w:val="en-US" w:eastAsia="zh-CN"/>
        </w:rPr>
        <w:t>一、基本思路</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Times New Roman" w:hAnsi="Times New Roman" w:eastAsia="仿宋_GB2312" w:cstheme="minorBidi"/>
          <w:b w:val="0"/>
          <w:bCs w:val="0"/>
          <w:kern w:val="2"/>
          <w:sz w:val="30"/>
          <w:szCs w:val="30"/>
          <w:lang w:val="en-US" w:eastAsia="zh-CN" w:bidi="ar-SA"/>
        </w:rPr>
      </w:pPr>
      <w:r>
        <w:rPr>
          <w:rFonts w:hint="eastAsia" w:ascii="Times New Roman" w:hAnsi="Times New Roman" w:eastAsia="仿宋_GB2312" w:cstheme="minorBidi"/>
          <w:b w:val="0"/>
          <w:bCs w:val="0"/>
          <w:kern w:val="2"/>
          <w:sz w:val="30"/>
          <w:szCs w:val="30"/>
          <w:lang w:val="en-US" w:eastAsia="zh-Hans" w:bidi="ar-SA"/>
        </w:rPr>
        <w:t>以习近平新时代中国特色社会主义思想为引领，深入学习贯彻习近平总书记关于应急管理和职业教育改革发展系列重要论述，</w:t>
      </w:r>
      <w:r>
        <w:rPr>
          <w:rFonts w:hint="eastAsia" w:ascii="Times New Roman" w:hAnsi="Times New Roman" w:eastAsia="仿宋_GB2312" w:cstheme="minorBidi"/>
          <w:b w:val="0"/>
          <w:bCs w:val="0"/>
          <w:kern w:val="2"/>
          <w:sz w:val="30"/>
          <w:szCs w:val="30"/>
          <w:lang w:val="en-US" w:eastAsia="zh-CN" w:bidi="ar-SA"/>
        </w:rPr>
        <w:t>围绕立德树人根本任务，</w:t>
      </w:r>
      <w:r>
        <w:rPr>
          <w:rFonts w:hint="eastAsia" w:ascii="Times New Roman" w:hAnsi="Times New Roman" w:eastAsia="仿宋_GB2312" w:cstheme="minorBidi"/>
          <w:b w:val="0"/>
          <w:bCs w:val="0"/>
          <w:kern w:val="2"/>
          <w:sz w:val="30"/>
          <w:szCs w:val="30"/>
          <w:lang w:val="en-US" w:eastAsia="zh-Hans" w:bidi="ar-SA"/>
        </w:rPr>
        <w:t>坚持“服务应急事业、融合应急行业、研究应急专业、发展应急产业”宗旨，</w:t>
      </w:r>
      <w:r>
        <w:rPr>
          <w:rFonts w:hint="eastAsia" w:ascii="Times New Roman" w:hAnsi="Times New Roman" w:eastAsia="仿宋_GB2312" w:cstheme="minorBidi"/>
          <w:b w:val="0"/>
          <w:bCs w:val="0"/>
          <w:kern w:val="2"/>
          <w:sz w:val="30"/>
          <w:szCs w:val="30"/>
          <w:lang w:val="en-US" w:eastAsia="zh-CN" w:bidi="ar-SA"/>
        </w:rPr>
        <w:t>落实创新、协调、绿色、开放、共享的新发展理念，坚持校际“平等、自愿、互利、共享”总体原则，</w:t>
      </w:r>
      <w:r>
        <w:rPr>
          <w:rFonts w:hint="eastAsia" w:ascii="Times New Roman" w:hAnsi="Times New Roman" w:eastAsia="仿宋_GB2312" w:cstheme="minorBidi"/>
          <w:b w:val="0"/>
          <w:bCs w:val="0"/>
          <w:kern w:val="2"/>
          <w:sz w:val="30"/>
          <w:szCs w:val="30"/>
          <w:lang w:val="en-US" w:eastAsia="zh-Hans" w:bidi="ar-SA"/>
        </w:rPr>
        <w:t>充分调动和发挥联盟内各成员单位的积极性和特色优势，聚集优势</w:t>
      </w:r>
      <w:r>
        <w:rPr>
          <w:rFonts w:hint="eastAsia" w:ascii="Times New Roman" w:hAnsi="Times New Roman" w:eastAsia="仿宋_GB2312" w:cstheme="minorBidi"/>
          <w:b w:val="0"/>
          <w:bCs w:val="0"/>
          <w:kern w:val="2"/>
          <w:sz w:val="30"/>
          <w:szCs w:val="30"/>
          <w:lang w:val="en-US" w:eastAsia="zh-CN" w:bidi="ar-SA"/>
        </w:rPr>
        <w:t>教育</w:t>
      </w:r>
      <w:r>
        <w:rPr>
          <w:rFonts w:hint="eastAsia" w:ascii="Times New Roman" w:hAnsi="Times New Roman" w:eastAsia="仿宋_GB2312" w:cstheme="minorBidi"/>
          <w:b w:val="0"/>
          <w:bCs w:val="0"/>
          <w:kern w:val="2"/>
          <w:sz w:val="30"/>
          <w:szCs w:val="30"/>
          <w:lang w:val="en-US" w:eastAsia="zh-Hans" w:bidi="ar-SA"/>
        </w:rPr>
        <w:t>资源、联合各方力量，</w:t>
      </w:r>
      <w:r>
        <w:rPr>
          <w:rFonts w:hint="eastAsia" w:ascii="Times New Roman" w:hAnsi="Times New Roman" w:eastAsia="仿宋_GB2312" w:cstheme="minorBidi"/>
          <w:b w:val="0"/>
          <w:bCs w:val="0"/>
          <w:kern w:val="2"/>
          <w:sz w:val="30"/>
          <w:szCs w:val="30"/>
          <w:lang w:val="en-US" w:eastAsia="zh-CN" w:bidi="ar-SA"/>
        </w:rPr>
        <w:t>依据《全国应急安全职业教育联盟校际课程互选学分互认合作议定书》要求，全面建立具有应急安全特色的校际课程互选学分互认工作机制，形成应急安全职业教育优质资源开放共享格局。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00" w:firstLineChars="200"/>
        <w:jc w:val="both"/>
        <w:textAlignment w:val="auto"/>
        <w:rPr>
          <w:rFonts w:hint="default" w:ascii="黑体" w:hAnsi="黑体" w:eastAsia="黑体" w:cs="黑体"/>
          <w:sz w:val="30"/>
          <w:szCs w:val="30"/>
          <w:lang w:val="en-US" w:eastAsia="zh-CN"/>
        </w:rPr>
      </w:pPr>
      <w:r>
        <w:rPr>
          <w:rFonts w:hint="eastAsia" w:ascii="黑体" w:hAnsi="黑体" w:eastAsia="黑体" w:cs="黑体"/>
          <w:sz w:val="30"/>
          <w:szCs w:val="30"/>
          <w:lang w:val="en-US" w:eastAsia="zh-CN"/>
        </w:rPr>
        <w:t>二、目标任务</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default" w:ascii="Times New Roman" w:hAnsi="Times New Roman" w:eastAsia="仿宋_GB2312" w:cstheme="minorBidi"/>
          <w:b w:val="0"/>
          <w:bCs w:val="0"/>
          <w:kern w:val="2"/>
          <w:sz w:val="30"/>
          <w:szCs w:val="30"/>
          <w:lang w:val="en-US" w:eastAsia="zh-CN" w:bidi="ar-SA"/>
        </w:rPr>
      </w:pPr>
      <w:r>
        <w:rPr>
          <w:rFonts w:hint="default" w:ascii="Times New Roman" w:hAnsi="Times New Roman" w:eastAsia="仿宋_GB2312" w:cstheme="minorBidi"/>
          <w:b w:val="0"/>
          <w:bCs w:val="0"/>
          <w:kern w:val="2"/>
          <w:sz w:val="30"/>
          <w:szCs w:val="30"/>
          <w:lang w:val="en-US" w:eastAsia="zh-CN" w:bidi="ar-SA"/>
        </w:rPr>
        <w:t>到202</w:t>
      </w:r>
      <w:r>
        <w:rPr>
          <w:rFonts w:hint="eastAsia" w:ascii="Times New Roman" w:hAnsi="Times New Roman" w:eastAsia="仿宋_GB2312" w:cstheme="minorBidi"/>
          <w:b w:val="0"/>
          <w:bCs w:val="0"/>
          <w:kern w:val="2"/>
          <w:sz w:val="30"/>
          <w:szCs w:val="30"/>
          <w:lang w:val="en-US" w:eastAsia="zh-CN" w:bidi="ar-SA"/>
        </w:rPr>
        <w:t>4</w:t>
      </w:r>
      <w:r>
        <w:rPr>
          <w:rFonts w:hint="default" w:ascii="Times New Roman" w:hAnsi="Times New Roman" w:eastAsia="仿宋_GB2312" w:cstheme="minorBidi"/>
          <w:b w:val="0"/>
          <w:bCs w:val="0"/>
          <w:kern w:val="2"/>
          <w:sz w:val="30"/>
          <w:szCs w:val="30"/>
          <w:lang w:val="en-US" w:eastAsia="zh-CN" w:bidi="ar-SA"/>
        </w:rPr>
        <w:t>年，</w:t>
      </w:r>
      <w:r>
        <w:rPr>
          <w:rFonts w:hint="eastAsia" w:ascii="Times New Roman" w:hAnsi="Times New Roman" w:eastAsia="仿宋_GB2312" w:cstheme="minorBidi"/>
          <w:b w:val="0"/>
          <w:bCs w:val="0"/>
          <w:kern w:val="2"/>
          <w:sz w:val="30"/>
          <w:szCs w:val="30"/>
          <w:lang w:val="en-US" w:eastAsia="zh-CN" w:bidi="ar-SA"/>
        </w:rPr>
        <w:t>建成20门以上在线课程组成的互选课程资源库，每年课程互选规模达到2000人次以上；形成完善的课程互选</w:t>
      </w:r>
      <w:r>
        <w:rPr>
          <w:rFonts w:hint="default" w:ascii="Times New Roman" w:hAnsi="Times New Roman" w:eastAsia="仿宋_GB2312" w:cstheme="minorBidi"/>
          <w:b w:val="0"/>
          <w:bCs w:val="0"/>
          <w:kern w:val="2"/>
          <w:sz w:val="30"/>
          <w:szCs w:val="30"/>
          <w:lang w:val="en-US" w:eastAsia="zh-CN" w:bidi="ar-SA"/>
        </w:rPr>
        <w:t>学分</w:t>
      </w:r>
      <w:r>
        <w:rPr>
          <w:rFonts w:hint="eastAsia" w:ascii="Times New Roman" w:hAnsi="Times New Roman" w:eastAsia="仿宋_GB2312" w:cstheme="minorBidi"/>
          <w:b w:val="0"/>
          <w:bCs w:val="0"/>
          <w:kern w:val="2"/>
          <w:sz w:val="30"/>
          <w:szCs w:val="30"/>
          <w:lang w:val="en-US" w:eastAsia="zh-CN" w:bidi="ar-SA"/>
        </w:rPr>
        <w:t>互认管理</w:t>
      </w:r>
      <w:r>
        <w:rPr>
          <w:rFonts w:hint="default" w:ascii="Times New Roman" w:hAnsi="Times New Roman" w:eastAsia="仿宋_GB2312" w:cstheme="minorBidi"/>
          <w:b w:val="0"/>
          <w:bCs w:val="0"/>
          <w:kern w:val="2"/>
          <w:sz w:val="30"/>
          <w:szCs w:val="30"/>
          <w:lang w:val="en-US" w:eastAsia="zh-CN" w:bidi="ar-SA"/>
        </w:rPr>
        <w:t>体系</w:t>
      </w:r>
      <w:r>
        <w:rPr>
          <w:rFonts w:hint="eastAsia" w:ascii="Times New Roman" w:hAnsi="Times New Roman" w:eastAsia="仿宋_GB2312" w:cstheme="minorBidi"/>
          <w:b w:val="0"/>
          <w:bCs w:val="0"/>
          <w:kern w:val="2"/>
          <w:sz w:val="30"/>
          <w:szCs w:val="30"/>
          <w:lang w:val="en-US" w:eastAsia="zh-CN" w:bidi="ar-SA"/>
        </w:rPr>
        <w:t>和相关制度</w:t>
      </w:r>
      <w:r>
        <w:rPr>
          <w:rFonts w:hint="default" w:ascii="Times New Roman" w:hAnsi="Times New Roman" w:eastAsia="仿宋_GB2312" w:cstheme="minorBidi"/>
          <w:b w:val="0"/>
          <w:bCs w:val="0"/>
          <w:kern w:val="2"/>
          <w:sz w:val="30"/>
          <w:szCs w:val="30"/>
          <w:lang w:val="en-US" w:eastAsia="zh-CN" w:bidi="ar-SA"/>
        </w:rPr>
        <w:t>，</w:t>
      </w:r>
      <w:r>
        <w:rPr>
          <w:rFonts w:hint="eastAsia" w:ascii="Times New Roman" w:hAnsi="Times New Roman" w:eastAsia="仿宋_GB2312" w:cstheme="minorBidi"/>
          <w:b w:val="0"/>
          <w:bCs w:val="0"/>
          <w:kern w:val="2"/>
          <w:sz w:val="30"/>
          <w:szCs w:val="30"/>
          <w:lang w:val="en-US" w:eastAsia="zh-CN" w:bidi="ar-SA"/>
        </w:rPr>
        <w:t>校际教学</w:t>
      </w:r>
      <w:r>
        <w:rPr>
          <w:rFonts w:hint="default" w:ascii="Times New Roman" w:hAnsi="Times New Roman" w:eastAsia="仿宋_GB2312" w:cstheme="minorBidi"/>
          <w:b w:val="0"/>
          <w:bCs w:val="0"/>
          <w:kern w:val="2"/>
          <w:sz w:val="30"/>
          <w:szCs w:val="30"/>
          <w:lang w:val="en-US" w:eastAsia="zh-CN" w:bidi="ar-SA"/>
        </w:rPr>
        <w:t>资源更加丰富、方式更加灵活、渠道更加畅通</w:t>
      </w:r>
      <w:r>
        <w:rPr>
          <w:rFonts w:hint="eastAsia" w:ascii="Times New Roman" w:hAnsi="Times New Roman" w:eastAsia="仿宋_GB2312" w:cstheme="minorBidi"/>
          <w:b w:val="0"/>
          <w:bCs w:val="0"/>
          <w:kern w:val="2"/>
          <w:sz w:val="30"/>
          <w:szCs w:val="30"/>
          <w:lang w:val="en-US" w:eastAsia="zh-CN" w:bidi="ar-SA"/>
        </w:rPr>
        <w:t>。</w:t>
      </w:r>
      <w:r>
        <w:rPr>
          <w:rFonts w:hint="default" w:ascii="Times New Roman" w:hAnsi="Times New Roman" w:eastAsia="仿宋_GB2312" w:cstheme="minorBidi"/>
          <w:b w:val="0"/>
          <w:bCs w:val="0"/>
          <w:kern w:val="2"/>
          <w:sz w:val="30"/>
          <w:szCs w:val="30"/>
          <w:lang w:val="en-US" w:eastAsia="zh-CN" w:bidi="ar-SA"/>
        </w:rPr>
        <w:t>基本形成优质教学资源共享</w:t>
      </w:r>
      <w:r>
        <w:rPr>
          <w:rFonts w:hint="eastAsia" w:ascii="Times New Roman" w:hAnsi="Times New Roman" w:eastAsia="仿宋_GB2312" w:cstheme="minorBidi"/>
          <w:b w:val="0"/>
          <w:bCs w:val="0"/>
          <w:kern w:val="2"/>
          <w:sz w:val="30"/>
          <w:szCs w:val="30"/>
          <w:lang w:val="en-US" w:eastAsia="zh-CN" w:bidi="ar-SA"/>
        </w:rPr>
        <w:t>、人才培养模式创新、各校广泛参与的良好态势，有效推动联盟不同特色院校融合发展，提升应急安全类人才培养质量</w:t>
      </w:r>
      <w:r>
        <w:rPr>
          <w:rFonts w:hint="default" w:ascii="Times New Roman" w:hAnsi="Times New Roman" w:eastAsia="仿宋_GB2312" w:cstheme="minorBidi"/>
          <w:b w:val="0"/>
          <w:bCs w:val="0"/>
          <w:kern w:val="2"/>
          <w:sz w:val="30"/>
          <w:szCs w:val="30"/>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00" w:firstLineChars="200"/>
        <w:jc w:val="both"/>
        <w:textAlignment w:val="auto"/>
        <w:rPr>
          <w:rFonts w:hint="default" w:ascii="黑体" w:hAnsi="黑体" w:eastAsia="黑体" w:cs="黑体"/>
          <w:sz w:val="30"/>
          <w:szCs w:val="30"/>
          <w:lang w:val="en-US" w:eastAsia="zh-CN"/>
        </w:rPr>
      </w:pPr>
      <w:r>
        <w:rPr>
          <w:rFonts w:hint="eastAsia" w:ascii="黑体" w:hAnsi="黑体" w:eastAsia="黑体" w:cs="黑体"/>
          <w:sz w:val="30"/>
          <w:szCs w:val="30"/>
          <w:lang w:val="en-US" w:eastAsia="zh-CN"/>
        </w:rPr>
        <w:t>三、工作内容</w:t>
      </w:r>
    </w:p>
    <w:p>
      <w:pPr>
        <w:keepNext w:val="0"/>
        <w:keepLines w:val="0"/>
        <w:pageBreakBefore w:val="0"/>
        <w:widowControl w:val="0"/>
        <w:kinsoku/>
        <w:wordWrap/>
        <w:overflowPunct/>
        <w:topLinePunct w:val="0"/>
        <w:autoSpaceDE/>
        <w:autoSpaceDN/>
        <w:bidi w:val="0"/>
        <w:adjustRightInd w:val="0"/>
        <w:snapToGrid w:val="0"/>
        <w:spacing w:line="360" w:lineRule="auto"/>
        <w:ind w:firstLine="602" w:firstLineChars="200"/>
        <w:textAlignment w:val="auto"/>
        <w:rPr>
          <w:rFonts w:hint="default" w:ascii="Times New Roman" w:hAnsi="Times New Roman" w:eastAsia="仿宋_GB2312" w:cstheme="minorBidi"/>
          <w:b/>
          <w:bCs/>
          <w:kern w:val="2"/>
          <w:sz w:val="30"/>
          <w:szCs w:val="30"/>
          <w:lang w:val="en-US" w:eastAsia="zh-CN" w:bidi="ar-SA"/>
        </w:rPr>
      </w:pPr>
      <w:r>
        <w:rPr>
          <w:rFonts w:hint="eastAsia" w:ascii="Times New Roman" w:hAnsi="Times New Roman" w:eastAsia="仿宋_GB2312" w:cstheme="minorBidi"/>
          <w:b/>
          <w:bCs/>
          <w:kern w:val="2"/>
          <w:sz w:val="30"/>
          <w:szCs w:val="30"/>
          <w:lang w:val="en-US" w:eastAsia="zh-CN" w:bidi="ar-SA"/>
        </w:rPr>
        <w:t>（一）以学校为主体推进课程互选准备工作</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Times New Roman" w:hAnsi="Times New Roman" w:eastAsia="仿宋_GB2312" w:cstheme="minorBidi"/>
          <w:b w:val="0"/>
          <w:bCs w:val="0"/>
          <w:kern w:val="2"/>
          <w:sz w:val="30"/>
          <w:szCs w:val="30"/>
          <w:lang w:val="en-US" w:eastAsia="zh-CN" w:bidi="ar-SA"/>
        </w:rPr>
      </w:pPr>
      <w:r>
        <w:rPr>
          <w:rFonts w:hint="eastAsia" w:ascii="Times New Roman" w:hAnsi="Times New Roman" w:eastAsia="仿宋_GB2312" w:cstheme="minorBidi"/>
          <w:b w:val="0"/>
          <w:bCs w:val="0"/>
          <w:kern w:val="2"/>
          <w:sz w:val="30"/>
          <w:szCs w:val="30"/>
          <w:lang w:val="en-US" w:eastAsia="zh-CN" w:bidi="ar-SA"/>
        </w:rPr>
        <w:t>1.各校根据联盟课程互选、学分互认工作要求，结合本校工作实际，负责出台本校课程互选学分互认标准与办法，明确学生校际选课要求和学分认定方式等。联盟秘书处负责指导、协调各校共同做好学分互认机制建设工作。</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Times New Roman" w:hAnsi="Times New Roman" w:eastAsia="仿宋_GB2312" w:cstheme="minorBidi"/>
          <w:b w:val="0"/>
          <w:bCs w:val="0"/>
          <w:kern w:val="2"/>
          <w:sz w:val="30"/>
          <w:szCs w:val="30"/>
          <w:lang w:val="en-US" w:eastAsia="zh-CN" w:bidi="ar-SA"/>
        </w:rPr>
      </w:pPr>
      <w:r>
        <w:rPr>
          <w:rFonts w:hint="eastAsia" w:ascii="Times New Roman" w:hAnsi="Times New Roman" w:eastAsia="仿宋_GB2312" w:cstheme="minorBidi"/>
          <w:b w:val="0"/>
          <w:bCs w:val="0"/>
          <w:kern w:val="2"/>
          <w:sz w:val="30"/>
          <w:szCs w:val="30"/>
          <w:lang w:val="en-US" w:eastAsia="zh-CN" w:bidi="ar-SA"/>
        </w:rPr>
        <w:t>2.各校根据自身实际、办学水平和办学特色，自主申报互选课程，原则上2022年各校申报联盟内互选课程不少于2门，2023年申报联盟内互选课程不少于3门。各校推荐的互选课程应于每年6月30日、12月31日前将下学期校际互选课程开课计划和《联盟校际互选课程信息表》报送联盟秘书处汇总。联盟秘书处具体负责课程互选信息收集、认定、下发和协调。</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eastAsia="仿宋_GB2312"/>
          <w:color w:val="000000"/>
          <w:sz w:val="32"/>
          <w:szCs w:val="32"/>
          <w:lang w:eastAsia="zh-CN"/>
        </w:rPr>
      </w:pPr>
      <w:r>
        <w:rPr>
          <w:rFonts w:hint="eastAsia" w:ascii="Times New Roman" w:hAnsi="Times New Roman" w:eastAsia="仿宋_GB2312" w:cstheme="minorBidi"/>
          <w:b w:val="0"/>
          <w:bCs w:val="0"/>
          <w:kern w:val="2"/>
          <w:sz w:val="30"/>
          <w:szCs w:val="30"/>
          <w:lang w:val="en-US" w:eastAsia="zh-CN" w:bidi="ar-SA"/>
        </w:rPr>
        <w:t>3.各校申报开设的联盟内互选课程，原则上以在线教学课程的方式呈现，要能够满足学生网络学习的需要。课程资源应至少包括以下内容：（1）课程基本信息，应包括课程名称、课程介绍、教学计划、教师信息、学时、学分、考核方式、选修人数容量等内容；（2）课程资源平台，为便于各校学生修学课程，互选课程资源平台原则上统一使用智慧职教。（3）课程教学资源，应包括课程标准、授课电子教案、教学课件、教学视频、习题、实践训练、试题库、参考资料及网络资源链接、特色资源等。课程资源应注重图形、视频、动画、虚拟仿真等各类资源的深度开发，努力实现资源类型的多样化；（4）网络教学活动，应包括课程信息发布与反馈、作业发布与管理、辅导、答疑、课程学习讨论、学习评价等功能模块。（5）课程思政融入，</w:t>
      </w:r>
      <w:r>
        <w:rPr>
          <w:rFonts w:eastAsia="仿宋_GB2312"/>
          <w:color w:val="000000"/>
          <w:sz w:val="32"/>
          <w:szCs w:val="32"/>
        </w:rPr>
        <w:t>根据专业与课程特点，挖掘课程蕴含的思政元素，科学、合理地将思政</w:t>
      </w:r>
      <w:r>
        <w:rPr>
          <w:rFonts w:hint="eastAsia" w:eastAsia="仿宋_GB2312"/>
          <w:color w:val="000000"/>
          <w:sz w:val="32"/>
          <w:szCs w:val="32"/>
          <w:lang w:val="en-US" w:eastAsia="zh-CN"/>
        </w:rPr>
        <w:t>元素、劳动教育等内容</w:t>
      </w:r>
      <w:r>
        <w:rPr>
          <w:rFonts w:eastAsia="仿宋_GB2312"/>
          <w:color w:val="000000"/>
          <w:sz w:val="32"/>
          <w:szCs w:val="32"/>
        </w:rPr>
        <w:t>融入课程教学</w:t>
      </w:r>
      <w:r>
        <w:rPr>
          <w:rFonts w:hint="eastAsia" w:eastAsia="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Times New Roman" w:hAnsi="Times New Roman" w:eastAsia="仿宋_GB2312" w:cstheme="minorBidi"/>
          <w:b w:val="0"/>
          <w:bCs w:val="0"/>
          <w:kern w:val="2"/>
          <w:sz w:val="30"/>
          <w:szCs w:val="30"/>
          <w:lang w:val="en-US" w:eastAsia="zh-CN" w:bidi="ar-SA"/>
        </w:rPr>
      </w:pPr>
      <w:r>
        <w:rPr>
          <w:rFonts w:hint="eastAsia" w:ascii="Times New Roman" w:hAnsi="Times New Roman" w:eastAsia="仿宋_GB2312" w:cstheme="minorBidi"/>
          <w:b w:val="0"/>
          <w:bCs w:val="0"/>
          <w:kern w:val="2"/>
          <w:sz w:val="30"/>
          <w:szCs w:val="30"/>
          <w:lang w:val="en-US" w:eastAsia="zh-CN" w:bidi="ar-SA"/>
        </w:rPr>
        <w:t>各院校要选派具有高度责任心和较高教学水平的教师担任主讲教师，确保课程的教学质量。</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default" w:ascii="Times New Roman" w:hAnsi="Times New Roman" w:eastAsia="仿宋_GB2312" w:cstheme="minorBidi"/>
          <w:b w:val="0"/>
          <w:bCs w:val="0"/>
          <w:kern w:val="2"/>
          <w:sz w:val="30"/>
          <w:szCs w:val="30"/>
          <w:lang w:val="en-US" w:eastAsia="zh-CN" w:bidi="ar-SA"/>
        </w:rPr>
      </w:pPr>
      <w:r>
        <w:rPr>
          <w:rFonts w:hint="eastAsia" w:ascii="Times New Roman" w:hAnsi="Times New Roman" w:eastAsia="仿宋_GB2312" w:cstheme="minorBidi"/>
          <w:b w:val="0"/>
          <w:bCs w:val="0"/>
          <w:kern w:val="2"/>
          <w:sz w:val="30"/>
          <w:szCs w:val="30"/>
          <w:lang w:val="en-US" w:eastAsia="zh-CN" w:bidi="ar-SA"/>
        </w:rPr>
        <w:t>4.各校在2022年2月10日前完成2022年度在线开放课程的资源建设及平台部署。各校应对推荐的校际互选课程的资质、形式和内容等进行审查，及时公布开课课程的有关信息。联盟内互选课程资源建设、教学实施及管理成本由开课学校承担。</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Times New Roman" w:hAnsi="Times New Roman" w:eastAsia="仿宋_GB2312" w:cstheme="minorBidi"/>
          <w:b w:val="0"/>
          <w:bCs w:val="0"/>
          <w:kern w:val="2"/>
          <w:sz w:val="30"/>
          <w:szCs w:val="30"/>
          <w:lang w:val="en-US" w:eastAsia="zh-CN" w:bidi="ar-SA"/>
        </w:rPr>
      </w:pPr>
      <w:r>
        <w:rPr>
          <w:rFonts w:hint="eastAsia" w:ascii="Times New Roman" w:hAnsi="Times New Roman" w:eastAsia="仿宋_GB2312" w:cstheme="minorBidi"/>
          <w:b w:val="0"/>
          <w:bCs w:val="0"/>
          <w:kern w:val="2"/>
          <w:sz w:val="30"/>
          <w:szCs w:val="30"/>
          <w:lang w:val="en-US" w:eastAsia="zh-CN" w:bidi="ar-SA"/>
        </w:rPr>
        <w:t>5.各校应精心组织本校优秀教师踊跃申报开课，逐步形成联盟内优秀课程资源库。各校加强课程建设，保证课程质量，提倡将本校精品课程、特色课程优先对合作院校学生开放，推动不同特色院校融合发展。鼓励知名教授、行业企业专家担任课程主讲教师，鼓励省级及以上优质课程纳入互选课程网络授课范畴。</w:t>
      </w:r>
    </w:p>
    <w:p>
      <w:pPr>
        <w:keepNext w:val="0"/>
        <w:keepLines w:val="0"/>
        <w:pageBreakBefore w:val="0"/>
        <w:widowControl w:val="0"/>
        <w:kinsoku/>
        <w:wordWrap/>
        <w:overflowPunct/>
        <w:topLinePunct w:val="0"/>
        <w:autoSpaceDE/>
        <w:autoSpaceDN/>
        <w:bidi w:val="0"/>
        <w:adjustRightInd w:val="0"/>
        <w:snapToGrid w:val="0"/>
        <w:spacing w:line="360" w:lineRule="auto"/>
        <w:ind w:firstLine="602" w:firstLineChars="200"/>
        <w:textAlignment w:val="auto"/>
        <w:rPr>
          <w:rFonts w:hint="default"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（二）以学生为中心落实选课与课程学习</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Times New Roman" w:hAnsi="Times New Roman" w:eastAsia="仿宋_GB2312" w:cstheme="minorBidi"/>
          <w:b w:val="0"/>
          <w:bCs w:val="0"/>
          <w:kern w:val="2"/>
          <w:sz w:val="30"/>
          <w:szCs w:val="30"/>
          <w:lang w:val="en-US" w:eastAsia="zh-CN" w:bidi="ar-SA"/>
        </w:rPr>
      </w:pPr>
      <w:r>
        <w:rPr>
          <w:rFonts w:hint="eastAsia" w:ascii="Times New Roman" w:hAnsi="Times New Roman" w:eastAsia="仿宋_GB2312" w:cstheme="minorBidi"/>
          <w:b w:val="0"/>
          <w:bCs w:val="0"/>
          <w:kern w:val="2"/>
          <w:sz w:val="30"/>
          <w:szCs w:val="30"/>
          <w:lang w:val="en-US" w:eastAsia="zh-CN" w:bidi="ar-SA"/>
        </w:rPr>
        <w:t>1.新学期开学的前一周，各学校负责将通过审核的选课学生信息上报至联盟秘书处，秘书处组织互选课程的认定，汇总并公布互选课程信息。</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Times New Roman" w:hAnsi="Times New Roman" w:eastAsia="仿宋_GB2312" w:cstheme="minorBidi"/>
          <w:b w:val="0"/>
          <w:bCs w:val="0"/>
          <w:kern w:val="2"/>
          <w:sz w:val="30"/>
          <w:szCs w:val="30"/>
          <w:lang w:val="en-US" w:eastAsia="zh-CN" w:bidi="ar-SA"/>
        </w:rPr>
      </w:pPr>
      <w:r>
        <w:rPr>
          <w:rFonts w:hint="eastAsia" w:ascii="Times New Roman" w:hAnsi="Times New Roman" w:eastAsia="仿宋_GB2312" w:cstheme="minorBidi"/>
          <w:b w:val="0"/>
          <w:bCs w:val="0"/>
          <w:kern w:val="2"/>
          <w:sz w:val="30"/>
          <w:szCs w:val="30"/>
          <w:lang w:val="en-US" w:eastAsia="zh-CN" w:bidi="ar-SA"/>
        </w:rPr>
        <w:t>2.开课学校应为选课学生提供所选课程的网络平台注册账号，并保证网站平台安全、稳定运行。</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default" w:ascii="Times New Roman" w:hAnsi="Times New Roman" w:eastAsia="仿宋_GB2312" w:cstheme="minorBidi"/>
          <w:b w:val="0"/>
          <w:bCs w:val="0"/>
          <w:kern w:val="2"/>
          <w:sz w:val="30"/>
          <w:szCs w:val="30"/>
          <w:lang w:val="en-US" w:eastAsia="zh-CN" w:bidi="ar-SA"/>
        </w:rPr>
      </w:pPr>
      <w:r>
        <w:rPr>
          <w:rFonts w:hint="eastAsia" w:ascii="Times New Roman" w:hAnsi="Times New Roman" w:eastAsia="仿宋_GB2312" w:cstheme="minorBidi"/>
          <w:b w:val="0"/>
          <w:bCs w:val="0"/>
          <w:kern w:val="2"/>
          <w:sz w:val="30"/>
          <w:szCs w:val="30"/>
          <w:lang w:val="en-US" w:eastAsia="zh-CN" w:bidi="ar-SA"/>
        </w:rPr>
        <w:t>3.若选择网络教学课程，则应按网络课程要求，自主学习和完成作业，经考核及格后方可获得相应学分。有条件的学校也可以利用远程互动教室帮助学生完成课堂学习；若选择在线直播课程，学生应遵守开课学校的规章制度，按时签到、听课、完成作业，经考核及格后方可获得相应学分。缺课累计达到总学时的三分之一者，取消参加该课程的考核资格。</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Times New Roman" w:hAnsi="Times New Roman" w:eastAsia="仿宋_GB2312" w:cstheme="minorBidi"/>
          <w:b w:val="0"/>
          <w:bCs w:val="0"/>
          <w:kern w:val="2"/>
          <w:sz w:val="30"/>
          <w:szCs w:val="30"/>
          <w:lang w:val="en-US" w:eastAsia="zh-CN" w:bidi="ar-SA"/>
        </w:rPr>
      </w:pPr>
      <w:r>
        <w:rPr>
          <w:rFonts w:hint="eastAsia" w:ascii="Times New Roman" w:hAnsi="Times New Roman" w:eastAsia="仿宋_GB2312" w:cstheme="minorBidi"/>
          <w:b w:val="0"/>
          <w:bCs w:val="0"/>
          <w:kern w:val="2"/>
          <w:sz w:val="30"/>
          <w:szCs w:val="30"/>
          <w:lang w:val="en-US" w:eastAsia="zh-CN" w:bidi="ar-SA"/>
        </w:rPr>
        <w:t>4.开课学校建立合作院校学生在本校修读课程管理制度。任课教师必须严格遵守教学纪律，若因故确需停、调课，须通过有效途径提前通知学生；采取检查教学纪律、抽查教学档案资料等手段加强教学监督，以确保所开课程的教学质量。</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Times New Roman" w:hAnsi="Times New Roman" w:eastAsia="仿宋_GB2312" w:cstheme="minorBidi"/>
          <w:b w:val="0"/>
          <w:bCs w:val="0"/>
          <w:kern w:val="2"/>
          <w:sz w:val="30"/>
          <w:szCs w:val="30"/>
          <w:lang w:val="en-US" w:eastAsia="zh-CN" w:bidi="ar-SA"/>
        </w:rPr>
      </w:pPr>
      <w:r>
        <w:rPr>
          <w:rFonts w:hint="eastAsia" w:ascii="Times New Roman" w:hAnsi="Times New Roman" w:eastAsia="仿宋_GB2312" w:cstheme="minorBidi"/>
          <w:b w:val="0"/>
          <w:bCs w:val="0"/>
          <w:kern w:val="2"/>
          <w:sz w:val="30"/>
          <w:szCs w:val="30"/>
          <w:lang w:val="en-US" w:eastAsia="zh-CN" w:bidi="ar-SA"/>
        </w:rPr>
        <w:t>5.学生学籍所在学校负责校际选课的资格审查。参与合作学校建立学生外校修读课程管理制度。在外校修读课程期间服从修读学校的管理，遵守修读学校的规章制度，做模范修读生。</w:t>
      </w:r>
    </w:p>
    <w:p>
      <w:pPr>
        <w:keepNext w:val="0"/>
        <w:keepLines w:val="0"/>
        <w:pageBreakBefore w:val="0"/>
        <w:widowControl w:val="0"/>
        <w:kinsoku/>
        <w:wordWrap/>
        <w:overflowPunct/>
        <w:topLinePunct w:val="0"/>
        <w:autoSpaceDE/>
        <w:autoSpaceDN/>
        <w:bidi w:val="0"/>
        <w:adjustRightInd w:val="0"/>
        <w:snapToGrid w:val="0"/>
        <w:spacing w:line="360" w:lineRule="auto"/>
        <w:ind w:firstLine="602" w:firstLineChars="200"/>
        <w:textAlignment w:val="auto"/>
        <w:rPr>
          <w:rFonts w:hint="default" w:ascii="Times New Roman" w:hAnsi="Times New Roman" w:eastAsia="仿宋_GB2312" w:cstheme="minorBidi"/>
          <w:b/>
          <w:bCs/>
          <w:kern w:val="2"/>
          <w:sz w:val="30"/>
          <w:szCs w:val="30"/>
          <w:lang w:val="en-US" w:eastAsia="zh-CN" w:bidi="ar-SA"/>
        </w:rPr>
      </w:pPr>
      <w:r>
        <w:rPr>
          <w:rFonts w:hint="eastAsia" w:ascii="Times New Roman" w:hAnsi="Times New Roman" w:eastAsia="仿宋_GB2312" w:cstheme="minorBidi"/>
          <w:b/>
          <w:bCs/>
          <w:kern w:val="2"/>
          <w:sz w:val="30"/>
          <w:szCs w:val="30"/>
          <w:lang w:val="en-US" w:eastAsia="zh-CN" w:bidi="ar-SA"/>
        </w:rPr>
        <w:t>（三）依《议定书》互认学习成果</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Times New Roman" w:hAnsi="Times New Roman" w:eastAsia="仿宋_GB2312" w:cstheme="minorBidi"/>
          <w:b w:val="0"/>
          <w:bCs w:val="0"/>
          <w:kern w:val="2"/>
          <w:sz w:val="30"/>
          <w:szCs w:val="30"/>
          <w:lang w:val="en-US" w:eastAsia="zh-CN" w:bidi="ar-SA"/>
        </w:rPr>
      </w:pPr>
      <w:r>
        <w:rPr>
          <w:rFonts w:hint="eastAsia" w:ascii="Times New Roman" w:hAnsi="Times New Roman" w:eastAsia="仿宋_GB2312" w:cstheme="minorBidi"/>
          <w:b w:val="0"/>
          <w:bCs w:val="0"/>
          <w:kern w:val="2"/>
          <w:sz w:val="30"/>
          <w:szCs w:val="30"/>
          <w:lang w:val="en-US" w:eastAsia="zh-CN" w:bidi="ar-SA"/>
        </w:rPr>
        <w:t>1.学生通过课程考试后方能取得成绩。成绩和课程合格证书由开课学校负责汇总报送至联盟秘书处，由秘书处下达至各选课学校。各开课学校须保存课程考试及成绩的原始材料或平台数据以备检查。对于考核不及格课程，由开课学校决定是否同意补考。</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Times New Roman" w:hAnsi="Times New Roman" w:eastAsia="仿宋_GB2312" w:cstheme="minorBidi"/>
          <w:b w:val="0"/>
          <w:bCs w:val="0"/>
          <w:kern w:val="2"/>
          <w:sz w:val="30"/>
          <w:szCs w:val="30"/>
          <w:lang w:val="en-US" w:eastAsia="zh-CN" w:bidi="ar-SA"/>
        </w:rPr>
      </w:pPr>
      <w:r>
        <w:rPr>
          <w:rFonts w:hint="eastAsia" w:ascii="Times New Roman" w:hAnsi="Times New Roman" w:eastAsia="仿宋_GB2312" w:cstheme="minorBidi"/>
          <w:b w:val="0"/>
          <w:bCs w:val="0"/>
          <w:kern w:val="2"/>
          <w:sz w:val="30"/>
          <w:szCs w:val="30"/>
          <w:lang w:val="en-US" w:eastAsia="zh-CN" w:bidi="ar-SA"/>
        </w:rPr>
        <w:t>2.学生学籍所在学校建立本校课程互选学分互认管理办法，并依据有关规定认定学生所修课程的成绩和学分。</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Times New Roman" w:hAnsi="Times New Roman" w:eastAsia="仿宋_GB2312" w:cstheme="minorBidi"/>
          <w:b w:val="0"/>
          <w:bCs w:val="0"/>
          <w:kern w:val="2"/>
          <w:sz w:val="30"/>
          <w:szCs w:val="30"/>
          <w:lang w:val="en-US" w:eastAsia="zh-CN" w:bidi="ar-SA"/>
        </w:rPr>
      </w:pPr>
      <w:r>
        <w:rPr>
          <w:rFonts w:hint="eastAsia" w:ascii="Times New Roman" w:hAnsi="Times New Roman" w:eastAsia="仿宋_GB2312" w:cstheme="minorBidi"/>
          <w:b w:val="0"/>
          <w:bCs w:val="0"/>
          <w:kern w:val="2"/>
          <w:sz w:val="30"/>
          <w:szCs w:val="30"/>
          <w:lang w:val="en-US" w:eastAsia="zh-CN" w:bidi="ar-SA"/>
        </w:rPr>
        <w:t>3.由开课院校对选修学生成绩合格的课程颁发电子课程合格证书，证书内容应包含开课院校、课程名称、学分、学时、成绩等，加盖联盟公章并下发至选课学校。选课学校应对课程合格证书存档，并依据课程合格证书，直接认定为本校相应的课程学分或成绩。对于已实施学分制的学校，可直接置换为学分，对于没有实行学分制的学校，可直接认定为成绩。</w:t>
      </w:r>
    </w:p>
    <w:p>
      <w:pPr>
        <w:keepNext w:val="0"/>
        <w:keepLines w:val="0"/>
        <w:pageBreakBefore w:val="0"/>
        <w:widowControl w:val="0"/>
        <w:kinsoku/>
        <w:wordWrap/>
        <w:overflowPunct/>
        <w:topLinePunct w:val="0"/>
        <w:autoSpaceDE/>
        <w:autoSpaceDN/>
        <w:bidi w:val="0"/>
        <w:adjustRightInd w:val="0"/>
        <w:snapToGrid w:val="0"/>
        <w:spacing w:line="360" w:lineRule="auto"/>
        <w:ind w:firstLine="602" w:firstLineChars="200"/>
        <w:textAlignment w:val="auto"/>
        <w:rPr>
          <w:rFonts w:hint="default" w:ascii="Times New Roman" w:hAnsi="Times New Roman" w:eastAsia="仿宋_GB2312" w:cstheme="minorBidi"/>
          <w:b/>
          <w:bCs/>
          <w:kern w:val="2"/>
          <w:sz w:val="30"/>
          <w:szCs w:val="30"/>
          <w:lang w:val="en-US" w:eastAsia="zh-CN" w:bidi="ar-SA"/>
        </w:rPr>
      </w:pPr>
      <w:r>
        <w:rPr>
          <w:rFonts w:hint="eastAsia" w:ascii="仿宋" w:hAnsi="仿宋" w:eastAsia="仿宋" w:cs="仿宋"/>
          <w:b/>
          <w:bCs/>
          <w:color w:val="000000"/>
          <w:sz w:val="30"/>
          <w:szCs w:val="30"/>
          <w:lang w:val="en-US" w:eastAsia="zh-CN"/>
        </w:rPr>
        <w:t>（四）合力增强课程互选学分互认实施质量</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Times New Roman" w:hAnsi="Times New Roman" w:eastAsia="仿宋_GB2312" w:cstheme="minorBidi"/>
          <w:b w:val="0"/>
          <w:bCs w:val="0"/>
          <w:kern w:val="2"/>
          <w:sz w:val="30"/>
          <w:szCs w:val="30"/>
          <w:lang w:val="en-US" w:eastAsia="zh-CN" w:bidi="ar-SA"/>
        </w:rPr>
      </w:pPr>
      <w:r>
        <w:rPr>
          <w:rFonts w:hint="eastAsia" w:ascii="Times New Roman" w:hAnsi="Times New Roman" w:eastAsia="仿宋_GB2312" w:cstheme="minorBidi"/>
          <w:b w:val="0"/>
          <w:bCs w:val="0"/>
          <w:kern w:val="2"/>
          <w:sz w:val="30"/>
          <w:szCs w:val="30"/>
          <w:lang w:val="en-US" w:eastAsia="zh-CN" w:bidi="ar-SA"/>
        </w:rPr>
        <w:t>1.联盟逐渐建立互选互认课程质量标准和课程准入退出机制，将课程质量和教师的知识、能力和水平等因素纳入质量标准，加强质量保证体系建设，坚持优质高效、质量竞争原则。</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Times New Roman" w:hAnsi="Times New Roman" w:eastAsia="仿宋_GB2312" w:cstheme="minorBidi"/>
          <w:b w:val="0"/>
          <w:bCs w:val="0"/>
          <w:kern w:val="2"/>
          <w:sz w:val="30"/>
          <w:szCs w:val="30"/>
          <w:lang w:val="en-US" w:eastAsia="zh-CN" w:bidi="ar-SA"/>
        </w:rPr>
      </w:pPr>
      <w:r>
        <w:rPr>
          <w:rFonts w:hint="eastAsia" w:ascii="Times New Roman" w:hAnsi="Times New Roman" w:eastAsia="仿宋_GB2312" w:cstheme="minorBidi"/>
          <w:b w:val="0"/>
          <w:bCs w:val="0"/>
          <w:kern w:val="2"/>
          <w:sz w:val="30"/>
          <w:szCs w:val="30"/>
          <w:lang w:val="en-US" w:eastAsia="zh-CN" w:bidi="ar-SA"/>
        </w:rPr>
        <w:t>2.联盟秘书处负责建设学分银行管理系统。按照技术先进、结构合理、功能完善、性能优良的原则进行建设，由账户管理、学习成果认定、学分积累、学分转换、学分查询、课程评价等模块构成，同时提供门户管理、注册验证、统计分析、数据批处理、权限管理等功能，满足联盟内各院校课程互选、学分互认的实用需求。</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Times New Roman" w:hAnsi="Times New Roman" w:eastAsia="仿宋_GB2312" w:cstheme="minorBidi"/>
          <w:b w:val="0"/>
          <w:bCs w:val="0"/>
          <w:kern w:val="2"/>
          <w:sz w:val="30"/>
          <w:szCs w:val="30"/>
          <w:lang w:val="en-US" w:eastAsia="zh-CN" w:bidi="ar-SA"/>
        </w:rPr>
      </w:pPr>
      <w:r>
        <w:rPr>
          <w:rFonts w:hint="eastAsia" w:ascii="Times New Roman" w:hAnsi="Times New Roman" w:eastAsia="仿宋_GB2312" w:cstheme="minorBidi"/>
          <w:b w:val="0"/>
          <w:bCs w:val="0"/>
          <w:kern w:val="2"/>
          <w:sz w:val="30"/>
          <w:szCs w:val="30"/>
          <w:lang w:val="en-US" w:eastAsia="zh-CN" w:bidi="ar-SA"/>
        </w:rPr>
        <w:t>3.各校可自行制定本校学生选修互选课程及学分互认管理办法，课程平台维护、教学资源建设、师资配备与课酬由各开课学校自行负责。</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default" w:ascii="Times New Roman" w:hAnsi="Times New Roman" w:eastAsia="仿宋_GB2312" w:cstheme="minorBidi"/>
          <w:b w:val="0"/>
          <w:bCs w:val="0"/>
          <w:kern w:val="2"/>
          <w:sz w:val="30"/>
          <w:szCs w:val="30"/>
          <w:lang w:val="en-US" w:eastAsia="zh-CN" w:bidi="ar-SA"/>
        </w:rPr>
      </w:pPr>
      <w:r>
        <w:rPr>
          <w:rFonts w:hint="eastAsia" w:ascii="Times New Roman" w:hAnsi="Times New Roman" w:eastAsia="仿宋_GB2312" w:cstheme="minorBidi"/>
          <w:b w:val="0"/>
          <w:bCs w:val="0"/>
          <w:kern w:val="2"/>
          <w:sz w:val="30"/>
          <w:szCs w:val="30"/>
          <w:lang w:val="en-US" w:eastAsia="zh-CN" w:bidi="ar-SA"/>
        </w:rPr>
        <w:t>4.定期组织任课教师相互学习交流，共同建好用好优质课程。鼓励各校开发、开设应急安全类专业特色网络课程，为省级、国家级教学资源库开发奠定基础。</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00" w:firstLineChars="200"/>
        <w:jc w:val="both"/>
        <w:textAlignment w:val="auto"/>
        <w:rPr>
          <w:rFonts w:hint="default" w:ascii="黑体" w:hAnsi="黑体" w:eastAsia="黑体" w:cs="黑体"/>
          <w:sz w:val="30"/>
          <w:szCs w:val="30"/>
          <w:lang w:val="en-US" w:eastAsia="zh-CN"/>
        </w:rPr>
      </w:pPr>
      <w:r>
        <w:rPr>
          <w:rFonts w:hint="eastAsia" w:ascii="黑体" w:hAnsi="黑体" w:eastAsia="黑体" w:cs="黑体"/>
          <w:sz w:val="30"/>
          <w:szCs w:val="30"/>
          <w:lang w:val="en-US" w:eastAsia="zh-CN"/>
        </w:rPr>
        <w:t>四、整体进程</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Times New Roman" w:hAnsi="Times New Roman" w:eastAsia="仿宋_GB2312" w:cstheme="minorBidi"/>
          <w:b w:val="0"/>
          <w:bCs w:val="0"/>
          <w:kern w:val="2"/>
          <w:sz w:val="30"/>
          <w:szCs w:val="30"/>
          <w:lang w:val="en-US" w:eastAsia="zh-CN" w:bidi="ar-SA"/>
        </w:rPr>
      </w:pPr>
      <w:r>
        <w:rPr>
          <w:rFonts w:hint="eastAsia" w:ascii="Times New Roman" w:hAnsi="Times New Roman" w:eastAsia="仿宋_GB2312" w:cstheme="minorBidi"/>
          <w:b w:val="0"/>
          <w:bCs w:val="0"/>
          <w:kern w:val="2"/>
          <w:sz w:val="30"/>
          <w:szCs w:val="30"/>
          <w:lang w:val="en-US" w:eastAsia="zh-CN" w:bidi="ar-SA"/>
        </w:rPr>
        <w:t>为方便学生修读课程，充分发挥高等教育信息技术作用，促进各校网络教学资源库建设，方案试行期间实施课程范围为优质网络在线课程，并以校际网络公选课形式呈现。包括国家级、省级教学资源库课程，国家级、省级在线精品课程，“双一流”建设专业群核心课程，校级优势特色课程等。鼓励以上范围外的优质网络在线课程列入实施范围。后期根据实施情况，逐步扩展至各校线下优质课程。</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default" w:ascii="Times New Roman" w:hAnsi="Times New Roman" w:eastAsia="仿宋_GB2312" w:cstheme="minorBidi"/>
          <w:b w:val="0"/>
          <w:bCs w:val="0"/>
          <w:kern w:val="2"/>
          <w:sz w:val="30"/>
          <w:szCs w:val="30"/>
          <w:highlight w:val="none"/>
          <w:lang w:val="en-US" w:eastAsia="zh-CN" w:bidi="ar-SA"/>
        </w:rPr>
      </w:pPr>
      <w:r>
        <w:rPr>
          <w:rFonts w:hint="eastAsia" w:ascii="Times New Roman" w:hAnsi="Times New Roman" w:eastAsia="仿宋_GB2312" w:cstheme="minorBidi"/>
          <w:b w:val="0"/>
          <w:bCs w:val="0"/>
          <w:kern w:val="2"/>
          <w:sz w:val="30"/>
          <w:szCs w:val="30"/>
          <w:highlight w:val="none"/>
          <w:lang w:val="en-US" w:eastAsia="zh-CN" w:bidi="ar-SA"/>
        </w:rPr>
        <w:t>各阶段工作进程及目标具体如下：</w:t>
      </w:r>
    </w:p>
    <w:p>
      <w:pPr>
        <w:keepNext w:val="0"/>
        <w:keepLines w:val="0"/>
        <w:pageBreakBefore w:val="0"/>
        <w:widowControl w:val="0"/>
        <w:kinsoku/>
        <w:wordWrap/>
        <w:overflowPunct/>
        <w:topLinePunct w:val="0"/>
        <w:autoSpaceDE/>
        <w:autoSpaceDN/>
        <w:bidi w:val="0"/>
        <w:adjustRightInd w:val="0"/>
        <w:snapToGrid w:val="0"/>
        <w:spacing w:line="360" w:lineRule="auto"/>
        <w:ind w:firstLine="602" w:firstLineChars="200"/>
        <w:textAlignment w:val="auto"/>
        <w:rPr>
          <w:rFonts w:hint="eastAsia" w:ascii="Arial" w:hAnsi="Arial" w:eastAsia="仿宋_GB2312" w:cs="Arial"/>
          <w:b w:val="0"/>
          <w:bCs w:val="0"/>
          <w:kern w:val="2"/>
          <w:sz w:val="30"/>
          <w:szCs w:val="30"/>
          <w:highlight w:val="none"/>
          <w:lang w:val="en-US" w:eastAsia="zh-CN" w:bidi="ar-SA"/>
        </w:rPr>
      </w:pPr>
      <w:r>
        <w:rPr>
          <w:rFonts w:hint="eastAsia" w:ascii="Times New Roman" w:hAnsi="Times New Roman" w:eastAsia="仿宋_GB2312" w:cstheme="minorBidi"/>
          <w:b/>
          <w:bCs/>
          <w:kern w:val="2"/>
          <w:sz w:val="30"/>
          <w:szCs w:val="30"/>
          <w:highlight w:val="none"/>
          <w:lang w:val="en-US" w:eastAsia="zh-CN" w:bidi="ar-SA"/>
        </w:rPr>
        <w:t>（一）试点阶段（2022年1月—2022年7月）</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Times New Roman" w:hAnsi="Times New Roman" w:eastAsia="仿宋_GB2312" w:cstheme="minorBidi"/>
          <w:b w:val="0"/>
          <w:bCs w:val="0"/>
          <w:kern w:val="2"/>
          <w:sz w:val="30"/>
          <w:szCs w:val="30"/>
          <w:lang w:val="en-US" w:eastAsia="zh-CN" w:bidi="ar-SA"/>
        </w:rPr>
      </w:pPr>
      <w:r>
        <w:rPr>
          <w:rFonts w:hint="eastAsia" w:ascii="Times New Roman" w:hAnsi="Times New Roman" w:eastAsia="仿宋_GB2312" w:cstheme="minorBidi"/>
          <w:b w:val="0"/>
          <w:bCs w:val="0"/>
          <w:kern w:val="2"/>
          <w:sz w:val="30"/>
          <w:szCs w:val="30"/>
          <w:lang w:val="en-US" w:eastAsia="zh-CN" w:bidi="ar-SA"/>
        </w:rPr>
        <w:t>首批试点学校原则上应为湖南安全技术职业学院、武汉职业技术学院、重庆安全技术职业学院、江苏安全技术职业学院、广西安全工程职业技术学院、辽源职业技术学院、兰州资源环境职业技术学院、重庆工程职业技术学院等8所院校。</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Arial" w:hAnsi="Arial" w:eastAsia="仿宋_GB2312" w:cs="Arial"/>
          <w:b w:val="0"/>
          <w:bCs w:val="0"/>
          <w:kern w:val="2"/>
          <w:sz w:val="30"/>
          <w:szCs w:val="30"/>
          <w:highlight w:val="none"/>
          <w:lang w:val="en-US" w:eastAsia="zh-CN" w:bidi="ar-SA"/>
        </w:rPr>
      </w:pPr>
      <w:r>
        <w:rPr>
          <w:rFonts w:hint="eastAsia" w:ascii="Times New Roman" w:hAnsi="Times New Roman" w:eastAsia="仿宋_GB2312" w:cstheme="minorBidi"/>
          <w:b w:val="0"/>
          <w:bCs w:val="0"/>
          <w:kern w:val="2"/>
          <w:sz w:val="30"/>
          <w:szCs w:val="30"/>
          <w:lang w:val="en-US" w:eastAsia="zh-CN" w:bidi="ar-SA"/>
        </w:rPr>
        <w:t>试点阶段确定爆破安全技术、建筑施工安全技术、职业危害防治技术、安全检测与监控技术、事故应急救援等5门国家级教学资源库建设项目课程作为首批试点课程，课程互选规模达到500人次以上。</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Arial" w:hAnsi="Arial" w:eastAsia="仿宋_GB2312" w:cs="Arial"/>
          <w:b w:val="0"/>
          <w:bCs w:val="0"/>
          <w:kern w:val="2"/>
          <w:sz w:val="30"/>
          <w:szCs w:val="30"/>
          <w:highlight w:val="none"/>
          <w:lang w:val="en-US" w:eastAsia="zh-CN" w:bidi="ar-SA"/>
        </w:rPr>
      </w:pPr>
      <w:r>
        <w:rPr>
          <w:rFonts w:hint="eastAsia" w:ascii="Arial" w:hAnsi="Arial" w:eastAsia="仿宋_GB2312" w:cs="Arial"/>
          <w:b w:val="0"/>
          <w:bCs w:val="0"/>
          <w:kern w:val="2"/>
          <w:sz w:val="30"/>
          <w:szCs w:val="30"/>
          <w:highlight w:val="none"/>
          <w:lang w:val="en-US" w:eastAsia="zh-CN" w:bidi="ar-SA"/>
        </w:rPr>
        <w:t>各参与试点的首批院校，根据校际课程互选及学分认定要求，做好开课计划，积极开展网络课程资源建设，制定本校课程互选学分互认的管理办法，研制学分转换标准。面向学生做好宣传动员，充分挖掘学生选课需求和学习需求，在更大范围内整合课程资源，刺激并提高学生参与选课学习的积极性。</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default" w:ascii="Arial" w:hAnsi="Arial" w:eastAsia="仿宋_GB2312" w:cs="Arial"/>
          <w:b w:val="0"/>
          <w:bCs w:val="0"/>
          <w:kern w:val="2"/>
          <w:sz w:val="30"/>
          <w:szCs w:val="30"/>
          <w:highlight w:val="none"/>
          <w:lang w:val="en-US" w:eastAsia="zh-CN" w:bidi="ar-SA"/>
        </w:rPr>
      </w:pPr>
      <w:r>
        <w:rPr>
          <w:rFonts w:hint="eastAsia" w:ascii="Arial" w:hAnsi="Arial" w:eastAsia="仿宋_GB2312" w:cs="Arial"/>
          <w:b w:val="0"/>
          <w:bCs w:val="0"/>
          <w:kern w:val="2"/>
          <w:sz w:val="30"/>
          <w:szCs w:val="30"/>
          <w:highlight w:val="none"/>
          <w:lang w:val="en-US" w:eastAsia="zh-CN" w:bidi="ar-SA"/>
        </w:rPr>
        <w:t>如参与试点院校间相互有其他课程的互选需求，可自行协商，并报联盟秘书处备案，管理办法参照本方案执行，好的经验和做法在联盟内推广。</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00" w:firstLineChars="200"/>
        <w:textAlignment w:val="auto"/>
        <w:rPr>
          <w:rFonts w:hint="eastAsia" w:ascii="Arial" w:hAnsi="Arial" w:eastAsia="仿宋_GB2312" w:cs="Arial"/>
          <w:b w:val="0"/>
          <w:bCs w:val="0"/>
          <w:kern w:val="2"/>
          <w:sz w:val="30"/>
          <w:szCs w:val="30"/>
          <w:highlight w:val="none"/>
          <w:lang w:val="en-US" w:eastAsia="zh-CN" w:bidi="ar-SA"/>
        </w:rPr>
      </w:pPr>
      <w:r>
        <w:rPr>
          <w:rFonts w:hint="eastAsia" w:ascii="Arial" w:hAnsi="Arial" w:eastAsia="仿宋_GB2312" w:cs="Arial"/>
          <w:b w:val="0"/>
          <w:bCs w:val="0"/>
          <w:kern w:val="2"/>
          <w:sz w:val="30"/>
          <w:szCs w:val="30"/>
          <w:highlight w:val="none"/>
          <w:lang w:val="en-US" w:eastAsia="zh-CN" w:bidi="ar-SA"/>
        </w:rPr>
        <w:t>联盟秘书处在联盟各成员单位中做好组织、宣传、动员和协调工作，确保课程互选学分互认在具体操作层面顺利实施。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00" w:firstLineChars="200"/>
        <w:textAlignment w:val="auto"/>
        <w:rPr>
          <w:rFonts w:hint="default" w:ascii="Arial" w:hAnsi="Arial" w:eastAsia="仿宋_GB2312" w:cs="Arial"/>
          <w:b w:val="0"/>
          <w:bCs w:val="0"/>
          <w:kern w:val="2"/>
          <w:sz w:val="30"/>
          <w:szCs w:val="30"/>
          <w:highlight w:val="none"/>
          <w:lang w:val="en-US" w:eastAsia="zh-CN" w:bidi="ar-SA"/>
        </w:rPr>
      </w:pPr>
      <w:r>
        <w:rPr>
          <w:rFonts w:hint="eastAsia" w:ascii="Arial" w:hAnsi="Arial" w:eastAsia="仿宋_GB2312" w:cs="Arial"/>
          <w:b w:val="0"/>
          <w:bCs w:val="0"/>
          <w:kern w:val="2"/>
          <w:sz w:val="30"/>
          <w:szCs w:val="30"/>
          <w:highlight w:val="none"/>
          <w:lang w:val="en-US" w:eastAsia="zh-CN" w:bidi="ar-SA"/>
        </w:rPr>
        <w:t>试点阶段工作任务及安排详见附件1。</w:t>
      </w:r>
    </w:p>
    <w:p>
      <w:pPr>
        <w:keepNext w:val="0"/>
        <w:keepLines w:val="0"/>
        <w:pageBreakBefore w:val="0"/>
        <w:widowControl w:val="0"/>
        <w:kinsoku/>
        <w:wordWrap/>
        <w:overflowPunct/>
        <w:topLinePunct w:val="0"/>
        <w:autoSpaceDE/>
        <w:autoSpaceDN/>
        <w:bidi w:val="0"/>
        <w:adjustRightInd w:val="0"/>
        <w:snapToGrid w:val="0"/>
        <w:spacing w:line="360" w:lineRule="auto"/>
        <w:ind w:firstLine="602" w:firstLineChars="200"/>
        <w:textAlignment w:val="auto"/>
        <w:rPr>
          <w:rFonts w:hint="eastAsia" w:ascii="Times New Roman" w:hAnsi="Times New Roman" w:eastAsia="仿宋_GB2312" w:cstheme="minorBidi"/>
          <w:b w:val="0"/>
          <w:bCs w:val="0"/>
          <w:kern w:val="2"/>
          <w:sz w:val="30"/>
          <w:szCs w:val="30"/>
          <w:highlight w:val="none"/>
          <w:lang w:val="en-US" w:eastAsia="zh-CN" w:bidi="ar-SA"/>
        </w:rPr>
      </w:pPr>
      <w:r>
        <w:rPr>
          <w:rFonts w:hint="eastAsia" w:ascii="Times New Roman" w:hAnsi="Times New Roman" w:eastAsia="仿宋_GB2312" w:cstheme="minorBidi"/>
          <w:b/>
          <w:bCs/>
          <w:kern w:val="2"/>
          <w:sz w:val="30"/>
          <w:szCs w:val="30"/>
          <w:highlight w:val="none"/>
          <w:lang w:val="en-US" w:eastAsia="zh-CN" w:bidi="ar-SA"/>
        </w:rPr>
        <w:t>（二）深化阶段（2022年8月—2023年12月）</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Times New Roman" w:hAnsi="Times New Roman" w:eastAsia="仿宋_GB2312" w:cstheme="minorBidi"/>
          <w:b w:val="0"/>
          <w:bCs w:val="0"/>
          <w:kern w:val="2"/>
          <w:sz w:val="30"/>
          <w:szCs w:val="30"/>
          <w:highlight w:val="none"/>
          <w:lang w:val="en-US" w:eastAsia="zh-CN" w:bidi="ar-SA"/>
        </w:rPr>
      </w:pPr>
      <w:r>
        <w:rPr>
          <w:rFonts w:hint="eastAsia" w:ascii="Times New Roman" w:hAnsi="Times New Roman" w:eastAsia="仿宋_GB2312" w:cstheme="minorBidi"/>
          <w:b w:val="0"/>
          <w:bCs w:val="0"/>
          <w:kern w:val="2"/>
          <w:sz w:val="30"/>
          <w:szCs w:val="30"/>
          <w:highlight w:val="none"/>
          <w:lang w:val="en-US" w:eastAsia="zh-CN" w:bidi="ar-SA"/>
        </w:rPr>
        <w:t>联盟秘书处将课程互选学分互认作为重点工作在联盟内部推进，实际参与院校数达到15所以上、学生数达到1000人次规模，互选课程数达15门以上。课程实施方面学生学习效果良好、满意度较高，基本实现联盟校际课程互选、学分互认在联盟成员单位内成为共识的目标。</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Times New Roman" w:hAnsi="Times New Roman" w:eastAsia="仿宋_GB2312" w:cstheme="minorBidi"/>
          <w:b w:val="0"/>
          <w:bCs w:val="0"/>
          <w:kern w:val="2"/>
          <w:sz w:val="30"/>
          <w:szCs w:val="30"/>
          <w:highlight w:val="none"/>
          <w:lang w:val="en-US" w:eastAsia="zh-CN" w:bidi="ar-SA"/>
        </w:rPr>
      </w:pPr>
      <w:r>
        <w:rPr>
          <w:rFonts w:hint="eastAsia" w:ascii="Times New Roman" w:hAnsi="Times New Roman" w:eastAsia="仿宋_GB2312" w:cstheme="minorBidi"/>
          <w:b w:val="0"/>
          <w:bCs w:val="0"/>
          <w:kern w:val="2"/>
          <w:sz w:val="30"/>
          <w:szCs w:val="30"/>
          <w:highlight w:val="none"/>
          <w:lang w:val="en-US" w:eastAsia="zh-CN" w:bidi="ar-SA"/>
        </w:rPr>
        <w:t>各参与院校在实施过程中探索有效的教学模式、服务模式和评价模式，尝试模块化、专题化、小学分的微课程建设和移动学习课程及资源开发，创新课程互选模式，满足学生多样化的学习需求。</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default" w:ascii="Times New Roman" w:hAnsi="Times New Roman" w:eastAsia="仿宋_GB2312" w:cstheme="minorBidi"/>
          <w:b/>
          <w:bCs/>
          <w:kern w:val="2"/>
          <w:sz w:val="30"/>
          <w:szCs w:val="30"/>
          <w:highlight w:val="none"/>
          <w:lang w:val="en-US" w:eastAsia="zh-CN" w:bidi="ar-SA"/>
        </w:rPr>
      </w:pPr>
      <w:r>
        <w:rPr>
          <w:rFonts w:hint="eastAsia" w:ascii="Arial" w:hAnsi="Arial" w:eastAsia="仿宋_GB2312" w:cs="Arial"/>
          <w:b w:val="0"/>
          <w:bCs w:val="0"/>
          <w:kern w:val="2"/>
          <w:sz w:val="30"/>
          <w:szCs w:val="30"/>
          <w:highlight w:val="none"/>
          <w:lang w:val="en-US" w:eastAsia="zh-CN" w:bidi="ar-SA"/>
        </w:rPr>
        <w:t>联盟秘书处牵头，逐步完善联盟校际课程互选学分互认的顶层设计和实施方案，</w:t>
      </w:r>
      <w:r>
        <w:rPr>
          <w:rFonts w:hint="eastAsia" w:ascii="Times New Roman" w:hAnsi="Times New Roman" w:eastAsia="仿宋_GB2312" w:cstheme="minorBidi"/>
          <w:b w:val="0"/>
          <w:bCs w:val="0"/>
          <w:kern w:val="2"/>
          <w:sz w:val="30"/>
          <w:szCs w:val="30"/>
          <w:highlight w:val="none"/>
          <w:lang w:val="en-US" w:eastAsia="zh-CN" w:bidi="ar-SA"/>
        </w:rPr>
        <w:t>建立互选互认课程质量标准和课程准入退出机制，保障互选课程达到精品课程质量标准。建立服务于联盟校际课程互选学分互认的学分银行管理系统，实现对课程管理和学分认定的支持与服务。</w:t>
      </w:r>
    </w:p>
    <w:p>
      <w:pPr>
        <w:keepNext w:val="0"/>
        <w:keepLines w:val="0"/>
        <w:pageBreakBefore w:val="0"/>
        <w:widowControl w:val="0"/>
        <w:kinsoku/>
        <w:wordWrap/>
        <w:overflowPunct/>
        <w:topLinePunct w:val="0"/>
        <w:autoSpaceDE/>
        <w:autoSpaceDN/>
        <w:bidi w:val="0"/>
        <w:adjustRightInd w:val="0"/>
        <w:snapToGrid w:val="0"/>
        <w:spacing w:line="360" w:lineRule="auto"/>
        <w:ind w:firstLine="602" w:firstLineChars="200"/>
        <w:textAlignment w:val="auto"/>
        <w:rPr>
          <w:rFonts w:hint="eastAsia" w:ascii="Times New Roman" w:hAnsi="Times New Roman" w:eastAsia="仿宋_GB2312" w:cstheme="minorBidi"/>
          <w:b w:val="0"/>
          <w:bCs w:val="0"/>
          <w:kern w:val="2"/>
          <w:sz w:val="30"/>
          <w:szCs w:val="30"/>
          <w:highlight w:val="none"/>
          <w:lang w:val="en-US" w:eastAsia="zh-CN" w:bidi="ar-SA"/>
        </w:rPr>
      </w:pPr>
      <w:r>
        <w:rPr>
          <w:rFonts w:hint="eastAsia" w:ascii="Times New Roman" w:hAnsi="Times New Roman" w:eastAsia="仿宋_GB2312" w:cstheme="minorBidi"/>
          <w:b/>
          <w:bCs/>
          <w:kern w:val="2"/>
          <w:sz w:val="30"/>
          <w:szCs w:val="30"/>
          <w:highlight w:val="none"/>
          <w:lang w:val="en-US" w:eastAsia="zh-CN" w:bidi="ar-SA"/>
        </w:rPr>
        <w:t>（三）推广阶段（2024年1月—）</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Times New Roman" w:hAnsi="Times New Roman" w:eastAsia="仿宋_GB2312" w:cstheme="minorBidi"/>
          <w:b w:val="0"/>
          <w:bCs w:val="0"/>
          <w:kern w:val="2"/>
          <w:sz w:val="30"/>
          <w:szCs w:val="30"/>
          <w:highlight w:val="none"/>
          <w:lang w:val="en-US" w:eastAsia="zh-CN" w:bidi="ar-SA"/>
        </w:rPr>
      </w:pPr>
      <w:r>
        <w:rPr>
          <w:rFonts w:hint="eastAsia" w:ascii="Times New Roman" w:hAnsi="Times New Roman" w:eastAsia="仿宋_GB2312" w:cstheme="minorBidi"/>
          <w:b w:val="0"/>
          <w:bCs w:val="0"/>
          <w:kern w:val="2"/>
          <w:sz w:val="30"/>
          <w:szCs w:val="30"/>
          <w:highlight w:val="none"/>
          <w:lang w:val="en-US" w:eastAsia="zh-CN" w:bidi="ar-SA"/>
        </w:rPr>
        <w:t>到2024年，建成20门以上在线课程组成的互选课程资源库，每年课程互选规模达到2000人次以上，面向联盟内所有院校推广；形成完善的课程互选学分互认管理体系和相关制度，校际教学资源更加丰富、方式更加灵活、渠道更加畅通。</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Times New Roman" w:hAnsi="Times New Roman" w:eastAsia="仿宋_GB2312" w:cstheme="minorBidi"/>
          <w:b w:val="0"/>
          <w:bCs w:val="0"/>
          <w:kern w:val="2"/>
          <w:sz w:val="30"/>
          <w:szCs w:val="30"/>
          <w:highlight w:val="none"/>
          <w:lang w:val="en-US" w:eastAsia="zh-CN" w:bidi="ar-SA"/>
        </w:rPr>
      </w:pPr>
      <w:r>
        <w:rPr>
          <w:rFonts w:hint="eastAsia" w:ascii="Times New Roman" w:hAnsi="Times New Roman" w:eastAsia="仿宋_GB2312" w:cstheme="minorBidi"/>
          <w:b w:val="0"/>
          <w:bCs w:val="0"/>
          <w:kern w:val="2"/>
          <w:sz w:val="30"/>
          <w:szCs w:val="30"/>
          <w:highlight w:val="none"/>
          <w:lang w:val="en-US" w:eastAsia="zh-CN" w:bidi="ar-SA"/>
        </w:rPr>
        <w:t>归纳总结联盟校际课程互选学分互认实施过程中的成功经验，面向全国应急安全类院校推广，，</w:t>
      </w:r>
      <w:r>
        <w:rPr>
          <w:rFonts w:hint="eastAsia" w:ascii="Arial" w:hAnsi="Arial" w:eastAsia="仿宋_GB2312" w:cs="Arial"/>
          <w:b w:val="0"/>
          <w:bCs w:val="0"/>
          <w:kern w:val="2"/>
          <w:sz w:val="30"/>
          <w:szCs w:val="30"/>
          <w:highlight w:val="none"/>
          <w:lang w:val="en-US" w:eastAsia="zh-CN" w:bidi="ar-SA"/>
        </w:rPr>
        <w:t>推动优质教育资源的建设、共享和开放</w:t>
      </w:r>
      <w:r>
        <w:rPr>
          <w:rFonts w:hint="eastAsia" w:ascii="Times New Roman" w:hAnsi="Times New Roman" w:eastAsia="仿宋_GB2312" w:cstheme="minorBidi"/>
          <w:b w:val="0"/>
          <w:bCs w:val="0"/>
          <w:kern w:val="2"/>
          <w:sz w:val="30"/>
          <w:szCs w:val="30"/>
          <w:highlight w:val="none"/>
          <w:lang w:val="en-US" w:eastAsia="zh-CN" w:bidi="ar-SA"/>
        </w:rPr>
        <w:t>，使之在应急安全类人才培养中发挥重要作用。</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Times New Roman" w:hAnsi="Times New Roman" w:eastAsia="仿宋_GB2312" w:cstheme="minorBidi"/>
          <w:b w:val="0"/>
          <w:bCs w:val="0"/>
          <w:kern w:val="2"/>
          <w:sz w:val="30"/>
          <w:szCs w:val="30"/>
          <w:highlight w:val="none"/>
          <w:lang w:val="en-US" w:eastAsia="zh-CN" w:bidi="ar-SA"/>
        </w:rPr>
      </w:pPr>
      <w:r>
        <w:rPr>
          <w:rFonts w:hint="eastAsia" w:ascii="Times New Roman" w:hAnsi="Times New Roman" w:eastAsia="仿宋_GB2312" w:cstheme="minorBidi"/>
          <w:b w:val="0"/>
          <w:bCs w:val="0"/>
          <w:kern w:val="2"/>
          <w:sz w:val="30"/>
          <w:szCs w:val="30"/>
          <w:highlight w:val="none"/>
          <w:lang w:val="en-US" w:eastAsia="zh-CN" w:bidi="ar-SA"/>
        </w:rPr>
        <w:t>梳理联盟校际课程互选学分互认实施过程中存在的理念、课程、教师、学生、平台、费用等方面的问题，进一步加强相关理论研究与实践探索，制订严谨、有效、统一、规范的课程学分标准及评价标准，为联盟课程互选学分互认提供科学的依据和标准化的操作程序，完善校际课程互选学分互认的学分银行管理系统，最终建立以学分银行为纽带的学习成果认证、积累、转化体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00" w:firstLineChars="200"/>
        <w:jc w:val="both"/>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五、实施保障</w:t>
      </w:r>
    </w:p>
    <w:p>
      <w:pPr>
        <w:keepNext w:val="0"/>
        <w:keepLines w:val="0"/>
        <w:pageBreakBefore w:val="0"/>
        <w:widowControl w:val="0"/>
        <w:kinsoku/>
        <w:wordWrap/>
        <w:overflowPunct/>
        <w:topLinePunct w:val="0"/>
        <w:autoSpaceDE/>
        <w:autoSpaceDN/>
        <w:bidi w:val="0"/>
        <w:adjustRightInd w:val="0"/>
        <w:snapToGrid w:val="0"/>
        <w:spacing w:line="360" w:lineRule="auto"/>
        <w:ind w:firstLine="602" w:firstLineChars="200"/>
        <w:textAlignment w:val="auto"/>
        <w:rPr>
          <w:rFonts w:hint="eastAsia" w:ascii="Times New Roman" w:hAnsi="Times New Roman" w:eastAsia="仿宋_GB2312" w:cstheme="minorBidi"/>
          <w:b/>
          <w:bCs/>
          <w:kern w:val="2"/>
          <w:sz w:val="30"/>
          <w:szCs w:val="30"/>
          <w:lang w:val="en-US" w:eastAsia="zh-CN" w:bidi="ar-SA"/>
        </w:rPr>
      </w:pPr>
      <w:r>
        <w:rPr>
          <w:rFonts w:hint="eastAsia" w:ascii="Times New Roman" w:hAnsi="Times New Roman" w:eastAsia="仿宋_GB2312" w:cstheme="minorBidi"/>
          <w:b/>
          <w:bCs/>
          <w:kern w:val="2"/>
          <w:sz w:val="30"/>
          <w:szCs w:val="30"/>
          <w:lang w:val="en-US" w:eastAsia="zh-CN" w:bidi="ar-SA"/>
        </w:rPr>
        <w:t>（一）加强组织领导</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Times New Roman" w:hAnsi="Times New Roman" w:eastAsia="仿宋_GB2312" w:cstheme="minorBidi"/>
          <w:b w:val="0"/>
          <w:bCs w:val="0"/>
          <w:kern w:val="2"/>
          <w:sz w:val="30"/>
          <w:szCs w:val="30"/>
          <w:lang w:val="en-US" w:eastAsia="zh-CN" w:bidi="ar-SA"/>
        </w:rPr>
      </w:pPr>
      <w:r>
        <w:rPr>
          <w:rFonts w:hint="eastAsia" w:ascii="Times New Roman" w:hAnsi="Times New Roman" w:eastAsia="仿宋_GB2312" w:cstheme="minorBidi"/>
          <w:b w:val="0"/>
          <w:bCs w:val="0"/>
          <w:kern w:val="2"/>
          <w:sz w:val="30"/>
          <w:szCs w:val="30"/>
          <w:lang w:val="en-US" w:eastAsia="zh-CN" w:bidi="ar-SA"/>
        </w:rPr>
        <w:t>推行联盟内各成员单位学校课程互选、学分互认工作是对传统教育教学和管理模式的重大改革，主要采取联盟秘书处统筹，各校自主自愿申报，分批试点、逐步实施的方式实施。各参与学校要明确责任，细化分工，结合实际，科学论证，实事求是地制定出适合本校课程互选、学分互认工作的具体实施方案。各校指定一名对接联络人，每月通报一次课程互选修读情况，公布网络平台学习数据，及时解决相关问题。</w:t>
      </w:r>
    </w:p>
    <w:p>
      <w:pPr>
        <w:keepNext w:val="0"/>
        <w:keepLines w:val="0"/>
        <w:pageBreakBefore w:val="0"/>
        <w:widowControl w:val="0"/>
        <w:kinsoku/>
        <w:wordWrap/>
        <w:overflowPunct/>
        <w:topLinePunct w:val="0"/>
        <w:autoSpaceDE/>
        <w:autoSpaceDN/>
        <w:bidi w:val="0"/>
        <w:adjustRightInd w:val="0"/>
        <w:snapToGrid w:val="0"/>
        <w:spacing w:line="360" w:lineRule="auto"/>
        <w:ind w:firstLine="602" w:firstLineChars="200"/>
        <w:textAlignment w:val="auto"/>
        <w:rPr>
          <w:rFonts w:hint="eastAsia" w:ascii="Times New Roman" w:hAnsi="Times New Roman" w:eastAsia="仿宋_GB2312" w:cstheme="minorBidi"/>
          <w:b/>
          <w:bCs/>
          <w:kern w:val="2"/>
          <w:sz w:val="30"/>
          <w:szCs w:val="30"/>
          <w:lang w:val="en-US" w:eastAsia="zh-CN" w:bidi="ar-SA"/>
        </w:rPr>
      </w:pPr>
      <w:r>
        <w:rPr>
          <w:rFonts w:hint="eastAsia" w:ascii="Times New Roman" w:hAnsi="Times New Roman" w:eastAsia="仿宋_GB2312" w:cstheme="minorBidi"/>
          <w:b/>
          <w:bCs/>
          <w:kern w:val="2"/>
          <w:sz w:val="30"/>
          <w:szCs w:val="30"/>
          <w:lang w:val="en-US" w:eastAsia="zh-CN" w:bidi="ar-SA"/>
        </w:rPr>
        <w:t xml:space="preserve">（二）加强经费保障 </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Times New Roman" w:hAnsi="Times New Roman" w:eastAsia="仿宋_GB2312" w:cstheme="minorBidi"/>
          <w:b w:val="0"/>
          <w:bCs w:val="0"/>
          <w:kern w:val="2"/>
          <w:sz w:val="30"/>
          <w:szCs w:val="30"/>
          <w:lang w:val="en-US" w:eastAsia="zh-CN" w:bidi="ar-SA"/>
        </w:rPr>
      </w:pPr>
      <w:r>
        <w:rPr>
          <w:rFonts w:hint="eastAsia" w:ascii="Times New Roman" w:hAnsi="Times New Roman" w:eastAsia="仿宋_GB2312" w:cstheme="minorBidi"/>
          <w:b w:val="0"/>
          <w:bCs w:val="0"/>
          <w:kern w:val="2"/>
          <w:sz w:val="30"/>
          <w:szCs w:val="30"/>
          <w:lang w:val="en-US" w:eastAsia="zh-CN" w:bidi="ar-SA"/>
        </w:rPr>
        <w:t>各参与学校要将学生课程互选、学分互认工作的各项经费开支列入学校常规教育经费开支范围，保障本校课程互选、学分互认工作经费的落实和规范管理。在收费制度未建立之前，各参与院校应本着高风亮节的精神，无偿开放2门以上有特色、高水平的网络精品课程供合作院校学生选修。</w:t>
      </w:r>
    </w:p>
    <w:p>
      <w:pPr>
        <w:keepNext w:val="0"/>
        <w:keepLines w:val="0"/>
        <w:pageBreakBefore w:val="0"/>
        <w:widowControl w:val="0"/>
        <w:kinsoku/>
        <w:wordWrap/>
        <w:overflowPunct/>
        <w:topLinePunct w:val="0"/>
        <w:autoSpaceDE/>
        <w:autoSpaceDN/>
        <w:bidi w:val="0"/>
        <w:adjustRightInd w:val="0"/>
        <w:snapToGrid w:val="0"/>
        <w:spacing w:line="360" w:lineRule="auto"/>
        <w:ind w:firstLine="602" w:firstLineChars="200"/>
        <w:textAlignment w:val="auto"/>
        <w:rPr>
          <w:rFonts w:hint="eastAsia" w:ascii="Times New Roman" w:hAnsi="Times New Roman" w:eastAsia="仿宋_GB2312" w:cstheme="minorBidi"/>
          <w:b/>
          <w:bCs/>
          <w:kern w:val="2"/>
          <w:sz w:val="30"/>
          <w:szCs w:val="30"/>
          <w:lang w:val="en-US" w:eastAsia="zh-CN" w:bidi="ar-SA"/>
        </w:rPr>
      </w:pPr>
      <w:r>
        <w:rPr>
          <w:rFonts w:hint="eastAsia" w:ascii="Times New Roman" w:hAnsi="Times New Roman" w:eastAsia="仿宋_GB2312" w:cstheme="minorBidi"/>
          <w:b/>
          <w:bCs/>
          <w:kern w:val="2"/>
          <w:sz w:val="30"/>
          <w:szCs w:val="30"/>
          <w:lang w:val="en-US" w:eastAsia="zh-CN" w:bidi="ar-SA"/>
        </w:rPr>
        <w:t>（三）做好服务宣传</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Times New Roman" w:hAnsi="Times New Roman" w:eastAsia="仿宋_GB2312" w:cstheme="minorBidi"/>
          <w:b w:val="0"/>
          <w:bCs w:val="0"/>
          <w:kern w:val="2"/>
          <w:sz w:val="30"/>
          <w:szCs w:val="30"/>
          <w:lang w:val="en-US" w:eastAsia="zh-CN" w:bidi="ar-SA"/>
        </w:rPr>
      </w:pPr>
      <w:r>
        <w:rPr>
          <w:rFonts w:hint="eastAsia" w:ascii="Times New Roman" w:hAnsi="Times New Roman" w:eastAsia="仿宋_GB2312" w:cstheme="minorBidi"/>
          <w:b w:val="0"/>
          <w:bCs w:val="0"/>
          <w:kern w:val="2"/>
          <w:sz w:val="30"/>
          <w:szCs w:val="30"/>
          <w:lang w:val="en-US" w:eastAsia="zh-CN" w:bidi="ar-SA"/>
        </w:rPr>
        <w:t>各校要通过多种渠道，主动、及时将学生课程互选、学分互认工作等内容广泛告知学生，认真做好政策宣传，方便学生获取准确信息。优化课程选择、学分认定流程，为推进学生课程互选、学分互认工作创造良好环境。</w:t>
      </w:r>
    </w:p>
    <w:p>
      <w:pPr>
        <w:keepNext w:val="0"/>
        <w:keepLines w:val="0"/>
        <w:pageBreakBefore w:val="0"/>
        <w:widowControl w:val="0"/>
        <w:kinsoku/>
        <w:wordWrap/>
        <w:overflowPunct/>
        <w:topLinePunct w:val="0"/>
        <w:autoSpaceDE/>
        <w:autoSpaceDN/>
        <w:bidi w:val="0"/>
        <w:adjustRightInd w:val="0"/>
        <w:snapToGrid w:val="0"/>
        <w:spacing w:line="360" w:lineRule="auto"/>
        <w:ind w:firstLine="602" w:firstLineChars="200"/>
        <w:textAlignment w:val="auto"/>
        <w:rPr>
          <w:rFonts w:hint="eastAsia" w:ascii="Times New Roman" w:hAnsi="Times New Roman" w:eastAsia="仿宋_GB2312" w:cstheme="minorBidi"/>
          <w:b/>
          <w:bCs/>
          <w:kern w:val="2"/>
          <w:sz w:val="30"/>
          <w:szCs w:val="30"/>
          <w:lang w:val="en-US" w:eastAsia="zh-CN" w:bidi="ar-SA"/>
        </w:rPr>
      </w:pPr>
      <w:r>
        <w:rPr>
          <w:rFonts w:hint="eastAsia" w:ascii="Times New Roman" w:hAnsi="Times New Roman" w:eastAsia="仿宋_GB2312" w:cstheme="minorBidi"/>
          <w:b/>
          <w:bCs/>
          <w:kern w:val="2"/>
          <w:sz w:val="30"/>
          <w:szCs w:val="30"/>
          <w:lang w:val="en-US" w:eastAsia="zh-CN" w:bidi="ar-SA"/>
        </w:rPr>
        <w:t>（四）强化激励措施</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default" w:ascii="Times New Roman" w:hAnsi="Times New Roman" w:eastAsia="仿宋_GB2312" w:cstheme="minorBidi"/>
          <w:b w:val="0"/>
          <w:bCs w:val="0"/>
          <w:kern w:val="2"/>
          <w:sz w:val="30"/>
          <w:szCs w:val="30"/>
          <w:lang w:val="en-US" w:eastAsia="zh-CN" w:bidi="ar-SA"/>
        </w:rPr>
      </w:pPr>
      <w:r>
        <w:rPr>
          <w:rFonts w:hint="eastAsia" w:ascii="Times New Roman" w:hAnsi="Times New Roman" w:eastAsia="仿宋_GB2312" w:cstheme="minorBidi"/>
          <w:b w:val="0"/>
          <w:bCs w:val="0"/>
          <w:kern w:val="2"/>
          <w:sz w:val="30"/>
          <w:szCs w:val="30"/>
          <w:lang w:val="en-US" w:eastAsia="zh-CN" w:bidi="ar-SA"/>
        </w:rPr>
        <w:t>建立基于学生满意度的课程遴选、淘汰机制，将教学效果好的互选课程纳入联盟内优质课程、教改成果奖等项目遴选，并给予相应支持。</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_GB2312" w:hAnsi="微软雅黑" w:eastAsia="仿宋_GB2312"/>
          <w:color w:val="000000"/>
          <w:sz w:val="30"/>
          <w:szCs w:val="30"/>
          <w:lang w:val="en-US" w:eastAsia="zh-CN"/>
        </w:rPr>
      </w:pP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jc w:val="right"/>
        <w:textAlignment w:val="auto"/>
        <w:rPr>
          <w:rFonts w:hint="eastAsia" w:ascii="仿宋_GB2312" w:hAnsi="微软雅黑" w:eastAsia="仿宋_GB2312"/>
          <w:color w:val="000000"/>
          <w:sz w:val="30"/>
          <w:szCs w:val="30"/>
          <w:lang w:val="en-US" w:eastAsia="zh-CN"/>
        </w:rPr>
      </w:pPr>
      <w:r>
        <w:rPr>
          <w:rFonts w:hint="eastAsia" w:ascii="仿宋_GB2312" w:hAnsi="微软雅黑" w:eastAsia="仿宋_GB2312"/>
          <w:color w:val="000000"/>
          <w:sz w:val="30"/>
          <w:szCs w:val="30"/>
          <w:lang w:val="en-US" w:eastAsia="zh-CN"/>
        </w:rPr>
        <w:t>全国应急安全职业联盟</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jc w:val="right"/>
        <w:textAlignment w:val="auto"/>
        <w:rPr>
          <w:rFonts w:hint="default" w:ascii="仿宋_GB2312" w:hAnsi="微软雅黑" w:eastAsia="仿宋_GB2312"/>
          <w:color w:val="000000"/>
          <w:sz w:val="30"/>
          <w:szCs w:val="30"/>
          <w:lang w:val="en-US" w:eastAsia="zh-CN"/>
        </w:rPr>
      </w:pPr>
      <w:r>
        <w:rPr>
          <w:rFonts w:hint="eastAsia" w:ascii="仿宋_GB2312" w:hAnsi="微软雅黑" w:eastAsia="仿宋_GB2312"/>
          <w:color w:val="000000"/>
          <w:sz w:val="30"/>
          <w:szCs w:val="30"/>
          <w:lang w:val="en-US" w:eastAsia="zh-CN"/>
        </w:rPr>
        <w:t>2021年11月2日</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_GB2312" w:hAnsi="微软雅黑" w:eastAsia="仿宋_GB2312"/>
          <w:color w:val="000000"/>
          <w:sz w:val="30"/>
          <w:szCs w:val="30"/>
          <w:lang w:val="en-US" w:eastAsia="zh-CN"/>
        </w:rPr>
      </w:pP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_GB2312" w:hAnsi="微软雅黑" w:eastAsia="仿宋_GB2312"/>
          <w:color w:val="000000"/>
          <w:sz w:val="30"/>
          <w:szCs w:val="30"/>
          <w:lang w:val="en-US" w:eastAsia="zh-CN"/>
        </w:rPr>
      </w:pPr>
      <w:r>
        <w:rPr>
          <w:rFonts w:hint="eastAsia" w:ascii="仿宋_GB2312" w:hAnsi="微软雅黑" w:eastAsia="仿宋_GB2312"/>
          <w:color w:val="000000"/>
          <w:sz w:val="30"/>
          <w:szCs w:val="30"/>
          <w:lang w:val="en-US" w:eastAsia="zh-CN"/>
        </w:rPr>
        <w:t>附件1: 2022春季学期工作任务与进程安排表</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_GB2312" w:hAnsi="微软雅黑" w:eastAsia="仿宋_GB2312"/>
          <w:color w:val="000000"/>
          <w:sz w:val="30"/>
          <w:szCs w:val="30"/>
          <w:lang w:val="en-US" w:eastAsia="zh-CN"/>
        </w:rPr>
      </w:pPr>
      <w:r>
        <w:rPr>
          <w:rFonts w:hint="eastAsia" w:ascii="仿宋_GB2312" w:hAnsi="微软雅黑" w:eastAsia="仿宋_GB2312"/>
          <w:color w:val="000000"/>
          <w:sz w:val="30"/>
          <w:szCs w:val="30"/>
          <w:lang w:val="en-US" w:eastAsia="zh-CN"/>
        </w:rPr>
        <w:t>附件2：联盟校际互选课程信息表</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_GB2312" w:hAnsi="微软雅黑" w:eastAsia="仿宋_GB2312"/>
          <w:color w:val="000000"/>
          <w:sz w:val="30"/>
          <w:szCs w:val="30"/>
          <w:lang w:val="en-US" w:eastAsia="zh-CN"/>
        </w:rPr>
      </w:pPr>
      <w:r>
        <w:rPr>
          <w:rFonts w:hint="eastAsia" w:ascii="仿宋_GB2312" w:hAnsi="微软雅黑" w:eastAsia="仿宋_GB2312"/>
          <w:color w:val="000000"/>
          <w:sz w:val="30"/>
          <w:szCs w:val="30"/>
          <w:lang w:val="en-US" w:eastAsia="zh-CN"/>
        </w:rPr>
        <w:t>附件3：联盟校际课程互选学分互认合作议定书</w:t>
      </w:r>
    </w:p>
    <w:p>
      <w:pPr>
        <w:rPr>
          <w:rFonts w:hint="eastAsia" w:ascii="仿宋_GB2312" w:hAnsi="微软雅黑" w:eastAsia="仿宋_GB2312"/>
          <w:color w:val="000000"/>
          <w:sz w:val="30"/>
          <w:szCs w:val="30"/>
          <w:lang w:val="en-US" w:eastAsia="zh-CN"/>
        </w:rPr>
      </w:pPr>
      <w:r>
        <w:rPr>
          <w:rFonts w:hint="eastAsia" w:ascii="仿宋_GB2312" w:hAnsi="微软雅黑" w:eastAsia="仿宋_GB2312"/>
          <w:color w:val="000000"/>
          <w:sz w:val="30"/>
          <w:szCs w:val="30"/>
          <w:lang w:val="en-US" w:eastAsia="zh-CN"/>
        </w:rPr>
        <w:br w:type="page"/>
      </w:r>
    </w:p>
    <w:p>
      <w:pPr>
        <w:pStyle w:val="3"/>
        <w:shd w:val="clear" w:color="auto" w:fill="FFFFFF"/>
        <w:spacing w:before="0" w:beforeAutospacing="0" w:after="0" w:afterAutospacing="0" w:line="360" w:lineRule="auto"/>
        <w:jc w:val="both"/>
        <w:rPr>
          <w:rFonts w:hint="eastAsia" w:ascii="仿宋_GB2312" w:hAnsi="微软雅黑" w:eastAsia="仿宋_GB2312"/>
          <w:color w:val="000000"/>
          <w:sz w:val="30"/>
          <w:szCs w:val="30"/>
          <w:lang w:val="en-US" w:eastAsia="zh-CN"/>
        </w:rPr>
      </w:pPr>
      <w:r>
        <w:rPr>
          <w:rFonts w:hint="eastAsia" w:ascii="仿宋_GB2312" w:hAnsi="微软雅黑" w:eastAsia="仿宋_GB2312"/>
          <w:color w:val="000000"/>
          <w:sz w:val="30"/>
          <w:szCs w:val="30"/>
          <w:lang w:val="en-US" w:eastAsia="zh-CN"/>
        </w:rPr>
        <w:t>附件1:</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2022春季学期工作任务与进程安排表</w:t>
      </w:r>
    </w:p>
    <w:tbl>
      <w:tblPr>
        <w:tblStyle w:val="5"/>
        <w:tblW w:w="8866"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7"/>
        <w:gridCol w:w="4912"/>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7" w:type="dxa"/>
            <w:vAlign w:val="top"/>
          </w:tcPr>
          <w:p>
            <w:pPr>
              <w:pStyle w:val="3"/>
              <w:spacing w:before="0" w:beforeAutospacing="0" w:after="0" w:afterAutospacing="0" w:line="360" w:lineRule="auto"/>
              <w:jc w:val="center"/>
              <w:rPr>
                <w:rFonts w:hint="default" w:asciiTheme="minorHAnsi" w:hAnsiTheme="minorHAnsi" w:eastAsiaTheme="minorEastAsia" w:cstheme="minorBidi"/>
                <w:b/>
                <w:bCs/>
                <w:kern w:val="2"/>
                <w:sz w:val="24"/>
                <w:szCs w:val="24"/>
                <w:vertAlign w:val="baseline"/>
                <w:lang w:val="en-US" w:eastAsia="zh-CN" w:bidi="ar-SA"/>
              </w:rPr>
            </w:pPr>
            <w:r>
              <w:rPr>
                <w:rFonts w:hint="eastAsia" w:asciiTheme="minorHAnsi" w:hAnsiTheme="minorHAnsi" w:eastAsiaTheme="minorEastAsia" w:cstheme="minorBidi"/>
                <w:b/>
                <w:bCs/>
                <w:kern w:val="2"/>
                <w:sz w:val="24"/>
                <w:szCs w:val="24"/>
                <w:vertAlign w:val="baseline"/>
                <w:lang w:val="en-US" w:eastAsia="zh-CN" w:bidi="ar-SA"/>
              </w:rPr>
              <w:t>时间节点</w:t>
            </w:r>
          </w:p>
        </w:tc>
        <w:tc>
          <w:tcPr>
            <w:tcW w:w="4912" w:type="dxa"/>
          </w:tcPr>
          <w:p>
            <w:pPr>
              <w:pStyle w:val="3"/>
              <w:spacing w:before="0" w:beforeAutospacing="0" w:after="0" w:afterAutospacing="0" w:line="360" w:lineRule="auto"/>
              <w:jc w:val="center"/>
              <w:rPr>
                <w:rFonts w:hint="default" w:asciiTheme="minorHAnsi" w:hAnsiTheme="minorHAnsi" w:eastAsiaTheme="minorEastAsia" w:cstheme="minorBidi"/>
                <w:b/>
                <w:bCs/>
                <w:kern w:val="2"/>
                <w:sz w:val="24"/>
                <w:szCs w:val="24"/>
                <w:vertAlign w:val="baseline"/>
                <w:lang w:val="en-US" w:eastAsia="zh-CN" w:bidi="ar-SA"/>
              </w:rPr>
            </w:pPr>
            <w:r>
              <w:rPr>
                <w:rFonts w:hint="eastAsia" w:asciiTheme="minorHAnsi" w:hAnsiTheme="minorHAnsi" w:eastAsiaTheme="minorEastAsia" w:cstheme="minorBidi"/>
                <w:b/>
                <w:bCs/>
                <w:kern w:val="2"/>
                <w:sz w:val="24"/>
                <w:szCs w:val="24"/>
                <w:vertAlign w:val="baseline"/>
                <w:lang w:val="en-US" w:eastAsia="zh-CN" w:bidi="ar-SA"/>
              </w:rPr>
              <w:t>任务</w:t>
            </w:r>
          </w:p>
        </w:tc>
        <w:tc>
          <w:tcPr>
            <w:tcW w:w="1477" w:type="dxa"/>
          </w:tcPr>
          <w:p>
            <w:pPr>
              <w:pStyle w:val="3"/>
              <w:spacing w:before="0" w:beforeAutospacing="0" w:after="0" w:afterAutospacing="0" w:line="360" w:lineRule="auto"/>
              <w:jc w:val="center"/>
              <w:rPr>
                <w:rFonts w:hint="default" w:asciiTheme="minorHAnsi" w:hAnsiTheme="minorHAnsi" w:eastAsiaTheme="minorEastAsia" w:cstheme="minorBidi"/>
                <w:b/>
                <w:bCs/>
                <w:kern w:val="2"/>
                <w:sz w:val="24"/>
                <w:szCs w:val="24"/>
                <w:vertAlign w:val="baseline"/>
                <w:lang w:val="en-US" w:eastAsia="zh-CN" w:bidi="ar-SA"/>
              </w:rPr>
            </w:pPr>
            <w:r>
              <w:rPr>
                <w:rFonts w:hint="eastAsia" w:asciiTheme="minorHAnsi" w:hAnsiTheme="minorHAnsi" w:eastAsiaTheme="minorEastAsia" w:cstheme="minorBidi"/>
                <w:b/>
                <w:bCs/>
                <w:kern w:val="2"/>
                <w:sz w:val="24"/>
                <w:szCs w:val="24"/>
                <w:vertAlign w:val="baseline"/>
                <w:lang w:val="en-US" w:eastAsia="zh-CN" w:bidi="ar-SA"/>
              </w:rPr>
              <w:t>负责单位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7" w:type="dxa"/>
            <w:vAlign w:val="center"/>
          </w:tcPr>
          <w:p>
            <w:pPr>
              <w:pStyle w:val="3"/>
              <w:spacing w:before="0" w:beforeAutospacing="0" w:after="0" w:afterAutospacing="0" w:line="360" w:lineRule="auto"/>
              <w:jc w:val="center"/>
              <w:rPr>
                <w:rFonts w:hint="default" w:ascii="仿宋_GB2312" w:hAnsi="微软雅黑" w:eastAsia="仿宋_GB2312" w:cstheme="minorBidi"/>
                <w:color w:val="000000"/>
                <w:kern w:val="2"/>
                <w:sz w:val="24"/>
                <w:szCs w:val="24"/>
                <w:lang w:val="en-US" w:eastAsia="zh-CN" w:bidi="ar-SA"/>
              </w:rPr>
            </w:pPr>
            <w:r>
              <w:rPr>
                <w:rFonts w:hint="eastAsia" w:ascii="仿宋_GB2312" w:hAnsi="微软雅黑" w:eastAsia="仿宋_GB2312" w:cstheme="minorBidi"/>
                <w:color w:val="000000"/>
                <w:kern w:val="2"/>
                <w:sz w:val="24"/>
                <w:szCs w:val="24"/>
                <w:lang w:val="en-US" w:eastAsia="zh-CN" w:bidi="ar-SA"/>
              </w:rPr>
              <w:t>2021年12月31日前</w:t>
            </w:r>
          </w:p>
        </w:tc>
        <w:tc>
          <w:tcPr>
            <w:tcW w:w="4912" w:type="dxa"/>
            <w:vAlign w:val="center"/>
          </w:tcPr>
          <w:p>
            <w:pPr>
              <w:pStyle w:val="3"/>
              <w:spacing w:before="0" w:beforeAutospacing="0" w:after="0" w:afterAutospacing="0" w:line="360" w:lineRule="auto"/>
              <w:jc w:val="center"/>
              <w:rPr>
                <w:rFonts w:hint="default" w:ascii="仿宋_GB2312" w:hAnsi="微软雅黑" w:eastAsia="仿宋_GB2312" w:cstheme="minorBidi"/>
                <w:color w:val="000000"/>
                <w:kern w:val="2"/>
                <w:sz w:val="24"/>
                <w:szCs w:val="24"/>
                <w:lang w:val="en-US" w:eastAsia="zh-CN" w:bidi="ar-SA"/>
              </w:rPr>
            </w:pPr>
            <w:r>
              <w:rPr>
                <w:rFonts w:hint="eastAsia" w:ascii="Times New Roman" w:hAnsi="Times New Roman" w:eastAsia="仿宋_GB2312" w:cstheme="minorBidi"/>
                <w:b w:val="0"/>
                <w:bCs w:val="0"/>
                <w:kern w:val="2"/>
                <w:sz w:val="24"/>
                <w:szCs w:val="24"/>
                <w:lang w:val="en-US" w:eastAsia="zh-CN" w:bidi="ar-SA"/>
              </w:rPr>
              <w:t>自主推荐2-5门优质网络在线课程，填写互选课程信息表，上报秘书处</w:t>
            </w:r>
          </w:p>
        </w:tc>
        <w:tc>
          <w:tcPr>
            <w:tcW w:w="1477" w:type="dxa"/>
            <w:vAlign w:val="center"/>
          </w:tcPr>
          <w:p>
            <w:pPr>
              <w:pStyle w:val="3"/>
              <w:spacing w:before="0" w:beforeAutospacing="0" w:after="0" w:afterAutospacing="0" w:line="360" w:lineRule="auto"/>
              <w:jc w:val="center"/>
              <w:rPr>
                <w:rFonts w:hint="default" w:ascii="仿宋_GB2312" w:hAnsi="微软雅黑" w:eastAsia="仿宋_GB2312" w:cstheme="minorBidi"/>
                <w:color w:val="000000"/>
                <w:kern w:val="2"/>
                <w:sz w:val="24"/>
                <w:szCs w:val="24"/>
                <w:lang w:val="en-US" w:eastAsia="zh-CN" w:bidi="ar-SA"/>
              </w:rPr>
            </w:pPr>
            <w:r>
              <w:rPr>
                <w:rFonts w:hint="eastAsia" w:ascii="仿宋_GB2312" w:hAnsi="微软雅黑" w:eastAsia="仿宋_GB2312" w:cstheme="minorBidi"/>
                <w:color w:val="000000"/>
                <w:kern w:val="2"/>
                <w:sz w:val="24"/>
                <w:szCs w:val="24"/>
                <w:lang w:val="en-US" w:eastAsia="zh-CN" w:bidi="ar-SA"/>
              </w:rPr>
              <w:t>开课院校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7" w:type="dxa"/>
            <w:vAlign w:val="center"/>
          </w:tcPr>
          <w:p>
            <w:pPr>
              <w:pStyle w:val="3"/>
              <w:spacing w:before="0" w:beforeAutospacing="0" w:after="0" w:afterAutospacing="0" w:line="360" w:lineRule="auto"/>
              <w:jc w:val="center"/>
              <w:rPr>
                <w:rFonts w:hint="eastAsia" w:ascii="仿宋_GB2312" w:hAnsi="微软雅黑" w:eastAsia="仿宋_GB2312" w:cstheme="minorBidi"/>
                <w:color w:val="000000"/>
                <w:kern w:val="2"/>
                <w:sz w:val="24"/>
                <w:szCs w:val="24"/>
                <w:lang w:val="en-US" w:eastAsia="zh-CN" w:bidi="ar-SA"/>
              </w:rPr>
            </w:pPr>
            <w:r>
              <w:rPr>
                <w:rFonts w:hint="eastAsia" w:ascii="仿宋_GB2312" w:hAnsi="微软雅黑" w:eastAsia="仿宋_GB2312" w:cstheme="minorBidi"/>
                <w:color w:val="000000"/>
                <w:kern w:val="2"/>
                <w:sz w:val="24"/>
                <w:szCs w:val="24"/>
                <w:lang w:val="en-US" w:eastAsia="zh-CN" w:bidi="ar-SA"/>
              </w:rPr>
              <w:t>2022年1月31日前</w:t>
            </w:r>
          </w:p>
        </w:tc>
        <w:tc>
          <w:tcPr>
            <w:tcW w:w="4912" w:type="dxa"/>
            <w:vAlign w:val="center"/>
          </w:tcPr>
          <w:p>
            <w:pPr>
              <w:pStyle w:val="3"/>
              <w:spacing w:before="0" w:beforeAutospacing="0" w:after="0" w:afterAutospacing="0" w:line="360" w:lineRule="auto"/>
              <w:jc w:val="center"/>
              <w:rPr>
                <w:rFonts w:hint="default" w:ascii="Times New Roman" w:hAnsi="Times New Roman" w:eastAsia="仿宋_GB2312" w:cstheme="minorBidi"/>
                <w:b w:val="0"/>
                <w:bCs w:val="0"/>
                <w:kern w:val="2"/>
                <w:sz w:val="24"/>
                <w:szCs w:val="24"/>
                <w:lang w:val="en-US" w:eastAsia="zh-CN" w:bidi="ar-SA"/>
              </w:rPr>
            </w:pPr>
            <w:r>
              <w:rPr>
                <w:rFonts w:hint="eastAsia" w:ascii="Times New Roman" w:hAnsi="Times New Roman" w:eastAsia="仿宋_GB2312" w:cstheme="minorBidi"/>
                <w:b w:val="0"/>
                <w:bCs w:val="0"/>
                <w:kern w:val="2"/>
                <w:sz w:val="24"/>
                <w:szCs w:val="24"/>
                <w:lang w:val="en-US" w:eastAsia="zh-CN" w:bidi="ar-SA"/>
              </w:rPr>
              <w:t>研制本校学分认定管理办法及学分转换标准</w:t>
            </w:r>
          </w:p>
        </w:tc>
        <w:tc>
          <w:tcPr>
            <w:tcW w:w="1477" w:type="dxa"/>
            <w:vAlign w:val="center"/>
          </w:tcPr>
          <w:p>
            <w:pPr>
              <w:pStyle w:val="3"/>
              <w:spacing w:before="0" w:beforeAutospacing="0" w:after="0" w:afterAutospacing="0" w:line="360" w:lineRule="auto"/>
              <w:jc w:val="center"/>
              <w:rPr>
                <w:rFonts w:hint="default" w:ascii="仿宋_GB2312" w:hAnsi="微软雅黑" w:eastAsia="仿宋_GB2312" w:cstheme="minorBidi"/>
                <w:color w:val="000000"/>
                <w:kern w:val="2"/>
                <w:sz w:val="24"/>
                <w:szCs w:val="24"/>
                <w:lang w:val="en-US" w:eastAsia="zh-CN" w:bidi="ar-SA"/>
              </w:rPr>
            </w:pPr>
            <w:r>
              <w:rPr>
                <w:rFonts w:hint="eastAsia" w:ascii="仿宋_GB2312" w:hAnsi="微软雅黑" w:eastAsia="仿宋_GB2312" w:cstheme="minorBidi"/>
                <w:color w:val="000000"/>
                <w:kern w:val="2"/>
                <w:sz w:val="24"/>
                <w:szCs w:val="24"/>
                <w:lang w:val="en-US" w:eastAsia="zh-CN" w:bidi="ar-SA"/>
              </w:rPr>
              <w:t>选课院校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7" w:type="dxa"/>
            <w:vAlign w:val="center"/>
          </w:tcPr>
          <w:p>
            <w:pPr>
              <w:pStyle w:val="3"/>
              <w:spacing w:before="0" w:beforeAutospacing="0" w:after="0" w:afterAutospacing="0" w:line="360" w:lineRule="auto"/>
              <w:jc w:val="center"/>
              <w:rPr>
                <w:rFonts w:hint="default" w:ascii="仿宋_GB2312" w:hAnsi="微软雅黑" w:eastAsia="仿宋_GB2312" w:cstheme="minorBidi"/>
                <w:color w:val="000000"/>
                <w:kern w:val="2"/>
                <w:sz w:val="24"/>
                <w:szCs w:val="24"/>
                <w:lang w:val="en-US" w:eastAsia="zh-CN" w:bidi="ar-SA"/>
              </w:rPr>
            </w:pPr>
            <w:r>
              <w:rPr>
                <w:rFonts w:hint="eastAsia" w:ascii="仿宋_GB2312" w:hAnsi="微软雅黑" w:eastAsia="仿宋_GB2312" w:cstheme="minorBidi"/>
                <w:color w:val="000000"/>
                <w:kern w:val="2"/>
                <w:sz w:val="24"/>
                <w:szCs w:val="24"/>
                <w:lang w:val="en-US" w:eastAsia="zh-CN" w:bidi="ar-SA"/>
              </w:rPr>
              <w:t>2022年1月31日前</w:t>
            </w:r>
          </w:p>
        </w:tc>
        <w:tc>
          <w:tcPr>
            <w:tcW w:w="4912" w:type="dxa"/>
            <w:vAlign w:val="center"/>
          </w:tcPr>
          <w:p>
            <w:pPr>
              <w:pStyle w:val="3"/>
              <w:spacing w:before="0" w:beforeAutospacing="0" w:after="0" w:afterAutospacing="0" w:line="360" w:lineRule="auto"/>
              <w:jc w:val="center"/>
              <w:rPr>
                <w:rFonts w:hint="default" w:ascii="仿宋_GB2312" w:hAnsi="微软雅黑" w:eastAsia="仿宋_GB2312" w:cstheme="minorBidi"/>
                <w:color w:val="000000"/>
                <w:kern w:val="2"/>
                <w:sz w:val="24"/>
                <w:szCs w:val="24"/>
                <w:lang w:val="en-US" w:eastAsia="zh-CN" w:bidi="ar-SA"/>
              </w:rPr>
            </w:pPr>
            <w:r>
              <w:rPr>
                <w:rFonts w:hint="eastAsia" w:ascii="仿宋_GB2312" w:hAnsi="微软雅黑" w:eastAsia="仿宋_GB2312" w:cstheme="minorBidi"/>
                <w:color w:val="000000"/>
                <w:kern w:val="2"/>
                <w:sz w:val="24"/>
                <w:szCs w:val="24"/>
                <w:lang w:val="en-US" w:eastAsia="zh-CN" w:bidi="ar-SA"/>
              </w:rPr>
              <w:t>汇总互选课程信息，认定互选课程，下发至各参与院校，开放学生选课</w:t>
            </w:r>
          </w:p>
        </w:tc>
        <w:tc>
          <w:tcPr>
            <w:tcW w:w="1477" w:type="dxa"/>
            <w:vAlign w:val="center"/>
          </w:tcPr>
          <w:p>
            <w:pPr>
              <w:pStyle w:val="3"/>
              <w:spacing w:before="0" w:beforeAutospacing="0" w:after="0" w:afterAutospacing="0" w:line="360" w:lineRule="auto"/>
              <w:jc w:val="center"/>
              <w:rPr>
                <w:rFonts w:hint="default" w:ascii="仿宋_GB2312" w:hAnsi="微软雅黑" w:eastAsia="仿宋_GB2312" w:cstheme="minorBidi"/>
                <w:color w:val="000000"/>
                <w:kern w:val="2"/>
                <w:sz w:val="24"/>
                <w:szCs w:val="24"/>
                <w:lang w:val="en-US" w:eastAsia="zh-CN" w:bidi="ar-SA"/>
              </w:rPr>
            </w:pPr>
            <w:r>
              <w:rPr>
                <w:rFonts w:hint="eastAsia" w:ascii="仿宋_GB2312" w:hAnsi="微软雅黑" w:eastAsia="仿宋_GB2312" w:cstheme="minorBidi"/>
                <w:color w:val="000000"/>
                <w:kern w:val="2"/>
                <w:sz w:val="24"/>
                <w:szCs w:val="24"/>
                <w:lang w:val="en-US" w:eastAsia="zh-CN" w:bidi="ar-SA"/>
              </w:rPr>
              <w:t>联盟秘书处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7" w:type="dxa"/>
            <w:vAlign w:val="center"/>
          </w:tcPr>
          <w:p>
            <w:pPr>
              <w:pStyle w:val="3"/>
              <w:spacing w:before="0" w:beforeAutospacing="0" w:after="0" w:afterAutospacing="0" w:line="360" w:lineRule="auto"/>
              <w:jc w:val="center"/>
              <w:rPr>
                <w:rFonts w:hint="eastAsia" w:ascii="仿宋_GB2312" w:hAnsi="微软雅黑" w:eastAsia="仿宋_GB2312" w:cstheme="minorBidi"/>
                <w:color w:val="000000"/>
                <w:kern w:val="2"/>
                <w:sz w:val="24"/>
                <w:szCs w:val="24"/>
                <w:lang w:val="en-US" w:eastAsia="zh-CN" w:bidi="ar-SA"/>
              </w:rPr>
            </w:pPr>
            <w:r>
              <w:rPr>
                <w:rFonts w:hint="eastAsia" w:ascii="仿宋_GB2312" w:hAnsi="微软雅黑" w:eastAsia="仿宋_GB2312" w:cstheme="minorBidi"/>
                <w:color w:val="000000"/>
                <w:kern w:val="2"/>
                <w:sz w:val="24"/>
                <w:szCs w:val="24"/>
                <w:lang w:val="en-US" w:eastAsia="zh-CN" w:bidi="ar-SA"/>
              </w:rPr>
              <w:t>2022年2月10日前</w:t>
            </w:r>
          </w:p>
        </w:tc>
        <w:tc>
          <w:tcPr>
            <w:tcW w:w="4912" w:type="dxa"/>
            <w:vAlign w:val="center"/>
          </w:tcPr>
          <w:p>
            <w:pPr>
              <w:pStyle w:val="3"/>
              <w:spacing w:before="0" w:beforeAutospacing="0" w:after="0" w:afterAutospacing="0" w:line="360" w:lineRule="auto"/>
              <w:jc w:val="center"/>
              <w:rPr>
                <w:rFonts w:hint="default" w:ascii="仿宋_GB2312" w:hAnsi="微软雅黑" w:eastAsia="仿宋_GB2312" w:cstheme="minorBidi"/>
                <w:color w:val="000000"/>
                <w:kern w:val="2"/>
                <w:sz w:val="24"/>
                <w:szCs w:val="24"/>
                <w:lang w:val="en-US" w:eastAsia="zh-CN" w:bidi="ar-SA"/>
              </w:rPr>
            </w:pPr>
            <w:r>
              <w:rPr>
                <w:rFonts w:hint="eastAsia" w:ascii="仿宋_GB2312" w:hAnsi="微软雅黑" w:eastAsia="仿宋_GB2312" w:cstheme="minorBidi"/>
                <w:color w:val="000000"/>
                <w:kern w:val="2"/>
                <w:sz w:val="24"/>
                <w:szCs w:val="24"/>
                <w:lang w:val="en-US" w:eastAsia="zh-CN" w:bidi="ar-SA"/>
              </w:rPr>
              <w:t>开课院校自主完成开课计划、授课教师安排；完成互选课程网络资源建设，确保课程质量。</w:t>
            </w:r>
          </w:p>
        </w:tc>
        <w:tc>
          <w:tcPr>
            <w:tcW w:w="1477" w:type="dxa"/>
            <w:vAlign w:val="center"/>
          </w:tcPr>
          <w:p>
            <w:pPr>
              <w:pStyle w:val="3"/>
              <w:spacing w:before="0" w:beforeAutospacing="0" w:after="0" w:afterAutospacing="0" w:line="360" w:lineRule="auto"/>
              <w:jc w:val="center"/>
              <w:rPr>
                <w:rFonts w:hint="eastAsia" w:ascii="仿宋_GB2312" w:hAnsi="微软雅黑" w:eastAsia="仿宋_GB2312" w:cstheme="minorBidi"/>
                <w:color w:val="000000"/>
                <w:kern w:val="2"/>
                <w:sz w:val="24"/>
                <w:szCs w:val="24"/>
                <w:lang w:val="en-US" w:eastAsia="zh-CN" w:bidi="ar-SA"/>
              </w:rPr>
            </w:pPr>
            <w:r>
              <w:rPr>
                <w:rFonts w:hint="eastAsia" w:ascii="仿宋_GB2312" w:hAnsi="微软雅黑" w:eastAsia="仿宋_GB2312" w:cstheme="minorBidi"/>
                <w:color w:val="000000"/>
                <w:kern w:val="2"/>
                <w:sz w:val="24"/>
                <w:szCs w:val="24"/>
                <w:lang w:val="en-US" w:eastAsia="zh-CN" w:bidi="ar-SA"/>
              </w:rPr>
              <w:t>开课院校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7" w:type="dxa"/>
            <w:vAlign w:val="center"/>
          </w:tcPr>
          <w:p>
            <w:pPr>
              <w:pStyle w:val="3"/>
              <w:spacing w:before="0" w:beforeAutospacing="0" w:after="0" w:afterAutospacing="0" w:line="360" w:lineRule="auto"/>
              <w:jc w:val="center"/>
              <w:rPr>
                <w:rFonts w:hint="eastAsia" w:ascii="仿宋_GB2312" w:hAnsi="微软雅黑" w:eastAsia="仿宋_GB2312" w:cstheme="minorBidi"/>
                <w:color w:val="000000"/>
                <w:kern w:val="2"/>
                <w:sz w:val="24"/>
                <w:szCs w:val="24"/>
                <w:lang w:val="en-US" w:eastAsia="zh-CN" w:bidi="ar-SA"/>
              </w:rPr>
            </w:pPr>
            <w:r>
              <w:rPr>
                <w:rFonts w:hint="eastAsia" w:ascii="仿宋_GB2312" w:hAnsi="微软雅黑" w:eastAsia="仿宋_GB2312" w:cstheme="minorBidi"/>
                <w:color w:val="000000"/>
                <w:kern w:val="2"/>
                <w:sz w:val="24"/>
                <w:szCs w:val="24"/>
                <w:lang w:val="en-US" w:eastAsia="zh-CN" w:bidi="ar-SA"/>
              </w:rPr>
              <w:t>2022年7月10日前</w:t>
            </w:r>
          </w:p>
        </w:tc>
        <w:tc>
          <w:tcPr>
            <w:tcW w:w="4912" w:type="dxa"/>
            <w:vAlign w:val="center"/>
          </w:tcPr>
          <w:p>
            <w:pPr>
              <w:pStyle w:val="3"/>
              <w:spacing w:before="0" w:beforeAutospacing="0" w:after="0" w:afterAutospacing="0" w:line="360" w:lineRule="auto"/>
              <w:jc w:val="center"/>
              <w:rPr>
                <w:rFonts w:hint="default" w:ascii="仿宋_GB2312" w:hAnsi="微软雅黑" w:eastAsia="仿宋_GB2312" w:cstheme="minorBidi"/>
                <w:color w:val="000000"/>
                <w:kern w:val="2"/>
                <w:sz w:val="24"/>
                <w:szCs w:val="24"/>
                <w:lang w:val="en-US" w:eastAsia="zh-CN" w:bidi="ar-SA"/>
              </w:rPr>
            </w:pPr>
            <w:r>
              <w:rPr>
                <w:rFonts w:hint="eastAsia" w:ascii="仿宋_GB2312" w:hAnsi="微软雅黑" w:eastAsia="仿宋_GB2312" w:cstheme="minorBidi"/>
                <w:color w:val="000000"/>
                <w:kern w:val="2"/>
                <w:sz w:val="24"/>
                <w:szCs w:val="24"/>
                <w:lang w:val="en-US" w:eastAsia="zh-CN" w:bidi="ar-SA"/>
              </w:rPr>
              <w:t>完成课程教学质量评价（应以学生的满意度测评为主）、课程考核、成绩报送（可以附带平台学习数据通报材料）</w:t>
            </w:r>
          </w:p>
        </w:tc>
        <w:tc>
          <w:tcPr>
            <w:tcW w:w="1477" w:type="dxa"/>
            <w:vAlign w:val="center"/>
          </w:tcPr>
          <w:p>
            <w:pPr>
              <w:pStyle w:val="3"/>
              <w:spacing w:before="0" w:beforeAutospacing="0" w:after="0" w:afterAutospacing="0" w:line="360" w:lineRule="auto"/>
              <w:jc w:val="center"/>
              <w:rPr>
                <w:rFonts w:hint="eastAsia" w:ascii="仿宋_GB2312" w:hAnsi="微软雅黑" w:eastAsia="仿宋_GB2312" w:cstheme="minorBidi"/>
                <w:color w:val="000000"/>
                <w:kern w:val="2"/>
                <w:sz w:val="24"/>
                <w:szCs w:val="24"/>
                <w:lang w:val="en-US" w:eastAsia="zh-CN" w:bidi="ar-SA"/>
              </w:rPr>
            </w:pPr>
            <w:r>
              <w:rPr>
                <w:rFonts w:hint="eastAsia" w:ascii="仿宋_GB2312" w:hAnsi="微软雅黑" w:eastAsia="仿宋_GB2312" w:cstheme="minorBidi"/>
                <w:color w:val="000000"/>
                <w:kern w:val="2"/>
                <w:sz w:val="24"/>
                <w:szCs w:val="24"/>
                <w:lang w:val="en-US" w:eastAsia="zh-CN" w:bidi="ar-SA"/>
              </w:rPr>
              <w:t>开课院校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7" w:type="dxa"/>
            <w:vAlign w:val="center"/>
          </w:tcPr>
          <w:p>
            <w:pPr>
              <w:pStyle w:val="3"/>
              <w:spacing w:before="0" w:beforeAutospacing="0" w:after="0" w:afterAutospacing="0" w:line="360" w:lineRule="auto"/>
              <w:jc w:val="center"/>
              <w:rPr>
                <w:rFonts w:hint="default" w:ascii="仿宋_GB2312" w:hAnsi="微软雅黑" w:eastAsia="仿宋_GB2312" w:cstheme="minorBidi"/>
                <w:color w:val="000000"/>
                <w:kern w:val="2"/>
                <w:sz w:val="24"/>
                <w:szCs w:val="24"/>
                <w:lang w:val="en-US" w:eastAsia="zh-CN" w:bidi="ar-SA"/>
              </w:rPr>
            </w:pPr>
            <w:r>
              <w:rPr>
                <w:rFonts w:hint="eastAsia" w:ascii="仿宋_GB2312" w:hAnsi="微软雅黑" w:eastAsia="仿宋_GB2312" w:cstheme="minorBidi"/>
                <w:color w:val="000000"/>
                <w:kern w:val="2"/>
                <w:sz w:val="24"/>
                <w:szCs w:val="24"/>
                <w:lang w:val="en-US" w:eastAsia="zh-CN" w:bidi="ar-SA"/>
              </w:rPr>
              <w:t>2022年7月31日前</w:t>
            </w:r>
          </w:p>
        </w:tc>
        <w:tc>
          <w:tcPr>
            <w:tcW w:w="4912" w:type="dxa"/>
            <w:vAlign w:val="center"/>
          </w:tcPr>
          <w:p>
            <w:pPr>
              <w:pStyle w:val="3"/>
              <w:spacing w:before="0" w:beforeAutospacing="0" w:after="0" w:afterAutospacing="0" w:line="360" w:lineRule="auto"/>
              <w:jc w:val="center"/>
              <w:rPr>
                <w:rFonts w:hint="default" w:ascii="仿宋_GB2312" w:hAnsi="微软雅黑" w:eastAsia="仿宋_GB2312" w:cstheme="minorBidi"/>
                <w:color w:val="000000"/>
                <w:kern w:val="2"/>
                <w:sz w:val="24"/>
                <w:szCs w:val="24"/>
                <w:lang w:val="en-US" w:eastAsia="zh-CN" w:bidi="ar-SA"/>
              </w:rPr>
            </w:pPr>
            <w:r>
              <w:rPr>
                <w:rFonts w:hint="eastAsia" w:ascii="仿宋_GB2312" w:hAnsi="微软雅黑" w:eastAsia="仿宋_GB2312" w:cstheme="minorBidi"/>
                <w:color w:val="000000"/>
                <w:kern w:val="2"/>
                <w:sz w:val="24"/>
                <w:szCs w:val="24"/>
                <w:lang w:val="en-US" w:eastAsia="zh-CN" w:bidi="ar-SA"/>
              </w:rPr>
              <w:t>汇总成绩单（学习平台数据），下达至选修学生所在院校</w:t>
            </w:r>
          </w:p>
        </w:tc>
        <w:tc>
          <w:tcPr>
            <w:tcW w:w="1477" w:type="dxa"/>
            <w:vAlign w:val="center"/>
          </w:tcPr>
          <w:p>
            <w:pPr>
              <w:pStyle w:val="3"/>
              <w:spacing w:before="0" w:beforeAutospacing="0" w:after="0" w:afterAutospacing="0" w:line="360" w:lineRule="auto"/>
              <w:jc w:val="center"/>
              <w:rPr>
                <w:rFonts w:hint="eastAsia" w:ascii="仿宋_GB2312" w:hAnsi="微软雅黑" w:eastAsia="仿宋_GB2312" w:cstheme="minorBidi"/>
                <w:color w:val="000000"/>
                <w:kern w:val="2"/>
                <w:sz w:val="24"/>
                <w:szCs w:val="24"/>
                <w:lang w:val="en-US" w:eastAsia="zh-CN" w:bidi="ar-SA"/>
              </w:rPr>
            </w:pPr>
            <w:r>
              <w:rPr>
                <w:rFonts w:hint="eastAsia" w:ascii="仿宋_GB2312" w:hAnsi="微软雅黑" w:eastAsia="仿宋_GB2312" w:cstheme="minorBidi"/>
                <w:color w:val="000000"/>
                <w:kern w:val="2"/>
                <w:sz w:val="24"/>
                <w:szCs w:val="24"/>
                <w:lang w:val="en-US" w:eastAsia="zh-CN" w:bidi="ar-SA"/>
              </w:rPr>
              <w:t>联盟秘书处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7" w:type="dxa"/>
            <w:vAlign w:val="center"/>
          </w:tcPr>
          <w:p>
            <w:pPr>
              <w:pStyle w:val="3"/>
              <w:spacing w:before="0" w:beforeAutospacing="0" w:after="0" w:afterAutospacing="0" w:line="360" w:lineRule="auto"/>
              <w:jc w:val="center"/>
              <w:rPr>
                <w:rFonts w:hint="eastAsia" w:ascii="仿宋_GB2312" w:hAnsi="微软雅黑" w:eastAsia="仿宋_GB2312" w:cstheme="minorBidi"/>
                <w:color w:val="000000"/>
                <w:kern w:val="2"/>
                <w:sz w:val="24"/>
                <w:szCs w:val="24"/>
                <w:lang w:val="en-US" w:eastAsia="zh-CN" w:bidi="ar-SA"/>
              </w:rPr>
            </w:pPr>
            <w:r>
              <w:rPr>
                <w:rFonts w:hint="eastAsia" w:ascii="仿宋_GB2312" w:hAnsi="微软雅黑" w:eastAsia="仿宋_GB2312" w:cstheme="minorBidi"/>
                <w:color w:val="000000"/>
                <w:kern w:val="2"/>
                <w:sz w:val="24"/>
                <w:szCs w:val="24"/>
                <w:lang w:val="en-US" w:eastAsia="zh-CN" w:bidi="ar-SA"/>
              </w:rPr>
              <w:t>2022年8月31日前</w:t>
            </w:r>
          </w:p>
        </w:tc>
        <w:tc>
          <w:tcPr>
            <w:tcW w:w="4912" w:type="dxa"/>
            <w:vAlign w:val="center"/>
          </w:tcPr>
          <w:p>
            <w:pPr>
              <w:pStyle w:val="3"/>
              <w:spacing w:before="0" w:beforeAutospacing="0" w:after="0" w:afterAutospacing="0" w:line="360" w:lineRule="auto"/>
              <w:jc w:val="center"/>
              <w:rPr>
                <w:rFonts w:hint="default" w:ascii="仿宋_GB2312" w:hAnsi="微软雅黑" w:eastAsia="仿宋_GB2312" w:cstheme="minorBidi"/>
                <w:color w:val="000000"/>
                <w:kern w:val="2"/>
                <w:sz w:val="24"/>
                <w:szCs w:val="24"/>
                <w:lang w:val="en-US" w:eastAsia="zh-CN" w:bidi="ar-SA"/>
              </w:rPr>
            </w:pPr>
            <w:r>
              <w:rPr>
                <w:rFonts w:hint="eastAsia" w:ascii="仿宋_GB2312" w:hAnsi="微软雅黑" w:eastAsia="仿宋_GB2312" w:cstheme="minorBidi"/>
                <w:color w:val="000000"/>
                <w:kern w:val="2"/>
                <w:sz w:val="24"/>
                <w:szCs w:val="24"/>
                <w:lang w:val="en-US" w:eastAsia="zh-CN" w:bidi="ar-SA"/>
              </w:rPr>
              <w:t>各选修学生所在院校以选修课、专业课辅修等形式，依据本校学分认定管理办法，对互选课程成绩合格者认定相应学分</w:t>
            </w:r>
          </w:p>
        </w:tc>
        <w:tc>
          <w:tcPr>
            <w:tcW w:w="1477" w:type="dxa"/>
            <w:vAlign w:val="center"/>
          </w:tcPr>
          <w:p>
            <w:pPr>
              <w:pStyle w:val="3"/>
              <w:spacing w:before="0" w:beforeAutospacing="0" w:after="0" w:afterAutospacing="0" w:line="360" w:lineRule="auto"/>
              <w:jc w:val="center"/>
              <w:rPr>
                <w:rFonts w:hint="default" w:ascii="仿宋_GB2312" w:hAnsi="微软雅黑" w:eastAsia="仿宋_GB2312" w:cstheme="minorBidi"/>
                <w:color w:val="000000"/>
                <w:kern w:val="2"/>
                <w:sz w:val="24"/>
                <w:szCs w:val="24"/>
                <w:lang w:val="en-US" w:eastAsia="zh-CN" w:bidi="ar-SA"/>
              </w:rPr>
            </w:pPr>
            <w:r>
              <w:rPr>
                <w:rFonts w:hint="eastAsia" w:ascii="仿宋_GB2312" w:hAnsi="微软雅黑" w:eastAsia="仿宋_GB2312" w:cstheme="minorBidi"/>
                <w:color w:val="000000"/>
                <w:kern w:val="2"/>
                <w:sz w:val="24"/>
                <w:szCs w:val="24"/>
                <w:lang w:val="en-US" w:eastAsia="zh-CN" w:bidi="ar-SA"/>
              </w:rPr>
              <w:t>选课院校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7" w:type="dxa"/>
            <w:vAlign w:val="center"/>
          </w:tcPr>
          <w:p>
            <w:pPr>
              <w:pStyle w:val="3"/>
              <w:spacing w:before="0" w:beforeAutospacing="0" w:after="0" w:afterAutospacing="0" w:line="360" w:lineRule="auto"/>
              <w:jc w:val="center"/>
              <w:rPr>
                <w:rFonts w:hint="default" w:ascii="仿宋_GB2312" w:hAnsi="微软雅黑" w:eastAsia="仿宋_GB2312" w:cstheme="minorBidi"/>
                <w:color w:val="000000"/>
                <w:kern w:val="2"/>
                <w:sz w:val="24"/>
                <w:szCs w:val="24"/>
                <w:lang w:val="en-US" w:eastAsia="zh-CN" w:bidi="ar-SA"/>
              </w:rPr>
            </w:pPr>
            <w:r>
              <w:rPr>
                <w:rFonts w:hint="eastAsia" w:ascii="仿宋_GB2312" w:hAnsi="微软雅黑" w:eastAsia="仿宋_GB2312" w:cstheme="minorBidi"/>
                <w:color w:val="000000"/>
                <w:kern w:val="2"/>
                <w:sz w:val="24"/>
                <w:szCs w:val="24"/>
                <w:lang w:val="en-US" w:eastAsia="zh-CN" w:bidi="ar-SA"/>
              </w:rPr>
              <w:t>2022年10月31日前</w:t>
            </w:r>
          </w:p>
        </w:tc>
        <w:tc>
          <w:tcPr>
            <w:tcW w:w="4912" w:type="dxa"/>
            <w:vAlign w:val="center"/>
          </w:tcPr>
          <w:p>
            <w:pPr>
              <w:pStyle w:val="3"/>
              <w:spacing w:before="0" w:beforeAutospacing="0" w:after="0" w:afterAutospacing="0" w:line="360" w:lineRule="auto"/>
              <w:jc w:val="center"/>
              <w:rPr>
                <w:rFonts w:hint="eastAsia" w:ascii="仿宋_GB2312" w:hAnsi="微软雅黑" w:eastAsia="仿宋_GB2312" w:cstheme="minorBidi"/>
                <w:color w:val="000000"/>
                <w:kern w:val="2"/>
                <w:sz w:val="24"/>
                <w:szCs w:val="24"/>
                <w:lang w:val="en-US" w:eastAsia="zh-CN" w:bidi="ar-SA"/>
              </w:rPr>
            </w:pPr>
            <w:r>
              <w:rPr>
                <w:rFonts w:hint="eastAsia" w:ascii="仿宋_GB2312" w:hAnsi="微软雅黑" w:eastAsia="仿宋_GB2312" w:cstheme="minorBidi"/>
                <w:color w:val="000000"/>
                <w:kern w:val="2"/>
                <w:sz w:val="24"/>
                <w:szCs w:val="24"/>
                <w:lang w:val="en-US" w:eastAsia="zh-CN" w:bidi="ar-SA"/>
              </w:rPr>
              <w:t>建设联盟学分银行管理系统，收集资源，建立互选课程资源库</w:t>
            </w:r>
          </w:p>
        </w:tc>
        <w:tc>
          <w:tcPr>
            <w:tcW w:w="1477" w:type="dxa"/>
            <w:vAlign w:val="center"/>
          </w:tcPr>
          <w:p>
            <w:pPr>
              <w:pStyle w:val="3"/>
              <w:spacing w:before="0" w:beforeAutospacing="0" w:after="0" w:afterAutospacing="0" w:line="360" w:lineRule="auto"/>
              <w:jc w:val="center"/>
              <w:rPr>
                <w:rFonts w:hint="eastAsia" w:ascii="仿宋_GB2312" w:hAnsi="微软雅黑" w:eastAsia="仿宋_GB2312" w:cstheme="minorBidi"/>
                <w:color w:val="000000"/>
                <w:kern w:val="2"/>
                <w:sz w:val="24"/>
                <w:szCs w:val="24"/>
                <w:lang w:val="en-US" w:eastAsia="zh-CN" w:bidi="ar-SA"/>
              </w:rPr>
            </w:pPr>
            <w:r>
              <w:rPr>
                <w:rFonts w:hint="eastAsia" w:ascii="仿宋_GB2312" w:hAnsi="微软雅黑" w:eastAsia="仿宋_GB2312" w:cstheme="minorBidi"/>
                <w:color w:val="000000"/>
                <w:kern w:val="2"/>
                <w:sz w:val="24"/>
                <w:szCs w:val="24"/>
                <w:lang w:val="en-US" w:eastAsia="zh-CN" w:bidi="ar-SA"/>
              </w:rPr>
              <w:t>联盟秘书处</w:t>
            </w:r>
          </w:p>
        </w:tc>
      </w:tr>
    </w:tbl>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_GB2312" w:hAnsi="微软雅黑" w:eastAsia="仿宋_GB2312"/>
          <w:color w:val="000000"/>
          <w:sz w:val="30"/>
          <w:szCs w:val="30"/>
          <w:lang w:val="en-US" w:eastAsia="zh-CN"/>
        </w:rPr>
      </w:pP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_GB2312" w:hAnsi="微软雅黑" w:eastAsia="仿宋_GB2312"/>
          <w:color w:val="000000"/>
          <w:sz w:val="30"/>
          <w:szCs w:val="30"/>
          <w:lang w:val="en-US" w:eastAsia="zh-CN"/>
        </w:rPr>
      </w:pPr>
    </w:p>
    <w:p>
      <w:pPr>
        <w:rPr>
          <w:rFonts w:hint="default"/>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仿宋_GB2312" w:hAnsi="微软雅黑" w:eastAsia="仿宋_GB2312" w:cs="宋体"/>
          <w:color w:val="000000"/>
          <w:kern w:val="0"/>
          <w:sz w:val="30"/>
          <w:szCs w:val="30"/>
          <w:lang w:val="en-US" w:eastAsia="zh-CN" w:bidi="ar-SA"/>
        </w:rPr>
      </w:pPr>
      <w:r>
        <w:rPr>
          <w:rFonts w:hint="eastAsia" w:ascii="仿宋_GB2312" w:hAnsi="微软雅黑" w:eastAsia="仿宋_GB2312" w:cs="宋体"/>
          <w:color w:val="000000"/>
          <w:kern w:val="0"/>
          <w:sz w:val="30"/>
          <w:szCs w:val="30"/>
          <w:lang w:val="en-US" w:eastAsia="zh-CN" w:bidi="ar-SA"/>
        </w:rPr>
        <w:t>附件2：</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联盟校际互选课程信息表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1496"/>
        <w:gridCol w:w="1389"/>
        <w:gridCol w:w="1334"/>
        <w:gridCol w:w="1588"/>
        <w:gridCol w:w="1578"/>
        <w:gridCol w:w="1556"/>
        <w:gridCol w:w="1444"/>
        <w:gridCol w:w="1345"/>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691" w:type="dxa"/>
            <w:vAlign w:val="center"/>
          </w:tcPr>
          <w:p>
            <w:pPr>
              <w:jc w:val="center"/>
              <w:rPr>
                <w:rFonts w:hint="default"/>
                <w:b/>
                <w:bCs/>
                <w:vertAlign w:val="baseline"/>
                <w:lang w:val="en-US" w:eastAsia="zh-CN"/>
              </w:rPr>
            </w:pPr>
            <w:r>
              <w:rPr>
                <w:rFonts w:hint="eastAsia"/>
                <w:b/>
                <w:bCs/>
                <w:vertAlign w:val="baseline"/>
                <w:lang w:val="en-US" w:eastAsia="zh-CN"/>
              </w:rPr>
              <w:t>序号</w:t>
            </w:r>
          </w:p>
        </w:tc>
        <w:tc>
          <w:tcPr>
            <w:tcW w:w="1496" w:type="dxa"/>
            <w:vAlign w:val="center"/>
          </w:tcPr>
          <w:p>
            <w:pPr>
              <w:jc w:val="center"/>
              <w:rPr>
                <w:rFonts w:hint="default"/>
                <w:b/>
                <w:bCs/>
                <w:vertAlign w:val="baseline"/>
                <w:lang w:val="en-US" w:eastAsia="zh-CN"/>
              </w:rPr>
            </w:pPr>
            <w:r>
              <w:rPr>
                <w:rFonts w:hint="eastAsia"/>
                <w:b/>
                <w:bCs/>
                <w:vertAlign w:val="baseline"/>
                <w:lang w:val="en-US" w:eastAsia="zh-CN"/>
              </w:rPr>
              <w:t>院校</w:t>
            </w:r>
            <w:r>
              <w:rPr>
                <w:rFonts w:hint="default"/>
                <w:b/>
                <w:bCs/>
                <w:vertAlign w:val="baseline"/>
                <w:lang w:val="en-US" w:eastAsia="zh-CN"/>
              </w:rPr>
              <w:t>名称</w:t>
            </w:r>
          </w:p>
        </w:tc>
        <w:tc>
          <w:tcPr>
            <w:tcW w:w="1389" w:type="dxa"/>
            <w:vAlign w:val="center"/>
          </w:tcPr>
          <w:p>
            <w:pPr>
              <w:jc w:val="center"/>
              <w:rPr>
                <w:rFonts w:hint="default"/>
                <w:b/>
                <w:bCs/>
                <w:vertAlign w:val="baseline"/>
                <w:lang w:val="en-US" w:eastAsia="zh-CN"/>
              </w:rPr>
            </w:pPr>
            <w:r>
              <w:rPr>
                <w:rFonts w:hint="eastAsia"/>
                <w:b/>
                <w:bCs/>
                <w:vertAlign w:val="baseline"/>
                <w:lang w:val="en-US" w:eastAsia="zh-CN"/>
              </w:rPr>
              <w:t>课程名称</w:t>
            </w:r>
          </w:p>
        </w:tc>
        <w:tc>
          <w:tcPr>
            <w:tcW w:w="1334" w:type="dxa"/>
            <w:vAlign w:val="center"/>
          </w:tcPr>
          <w:p>
            <w:pPr>
              <w:jc w:val="center"/>
              <w:rPr>
                <w:rFonts w:hint="default"/>
                <w:b/>
                <w:bCs/>
                <w:vertAlign w:val="baseline"/>
                <w:lang w:val="en-US" w:eastAsia="zh-CN"/>
              </w:rPr>
            </w:pPr>
            <w:r>
              <w:rPr>
                <w:rFonts w:hint="eastAsia"/>
                <w:b/>
                <w:bCs/>
                <w:vertAlign w:val="baseline"/>
                <w:lang w:val="en-US" w:eastAsia="zh-CN"/>
              </w:rPr>
              <w:t>主讲教师</w:t>
            </w:r>
          </w:p>
        </w:tc>
        <w:tc>
          <w:tcPr>
            <w:tcW w:w="1588" w:type="dxa"/>
            <w:vAlign w:val="center"/>
          </w:tcPr>
          <w:p>
            <w:pPr>
              <w:jc w:val="center"/>
              <w:rPr>
                <w:rFonts w:hint="default"/>
                <w:b/>
                <w:bCs/>
                <w:vertAlign w:val="baseline"/>
                <w:lang w:val="en-US" w:eastAsia="zh-CN"/>
              </w:rPr>
            </w:pPr>
            <w:r>
              <w:rPr>
                <w:rFonts w:hint="eastAsia"/>
                <w:b/>
                <w:bCs/>
                <w:vertAlign w:val="baseline"/>
                <w:lang w:val="en-US" w:eastAsia="zh-CN"/>
              </w:rPr>
              <w:t>课程类型</w:t>
            </w:r>
          </w:p>
        </w:tc>
        <w:tc>
          <w:tcPr>
            <w:tcW w:w="1578" w:type="dxa"/>
            <w:vAlign w:val="center"/>
          </w:tcPr>
          <w:p>
            <w:pPr>
              <w:jc w:val="center"/>
              <w:rPr>
                <w:rFonts w:hint="default"/>
                <w:b/>
                <w:bCs/>
                <w:vertAlign w:val="baseline"/>
                <w:lang w:val="en-US" w:eastAsia="zh-CN"/>
              </w:rPr>
            </w:pPr>
            <w:r>
              <w:rPr>
                <w:rFonts w:hint="eastAsia"/>
                <w:b/>
                <w:bCs/>
                <w:vertAlign w:val="baseline"/>
                <w:lang w:val="en-US" w:eastAsia="zh-CN"/>
              </w:rPr>
              <w:t>学时/学分</w:t>
            </w:r>
          </w:p>
        </w:tc>
        <w:tc>
          <w:tcPr>
            <w:tcW w:w="1556" w:type="dxa"/>
            <w:vAlign w:val="center"/>
          </w:tcPr>
          <w:p>
            <w:pPr>
              <w:jc w:val="center"/>
              <w:rPr>
                <w:rFonts w:hint="default"/>
                <w:b/>
                <w:bCs/>
                <w:vertAlign w:val="baseline"/>
                <w:lang w:val="en-US" w:eastAsia="zh-CN"/>
              </w:rPr>
            </w:pPr>
            <w:r>
              <w:rPr>
                <w:rFonts w:hint="eastAsia"/>
                <w:b/>
                <w:bCs/>
                <w:vertAlign w:val="baseline"/>
                <w:lang w:val="en-US" w:eastAsia="zh-CN"/>
              </w:rPr>
              <w:t>课程链接</w:t>
            </w:r>
          </w:p>
        </w:tc>
        <w:tc>
          <w:tcPr>
            <w:tcW w:w="1444" w:type="dxa"/>
            <w:vAlign w:val="center"/>
          </w:tcPr>
          <w:p>
            <w:pPr>
              <w:jc w:val="center"/>
              <w:rPr>
                <w:rFonts w:hint="default"/>
                <w:b/>
                <w:bCs/>
                <w:vertAlign w:val="baseline"/>
                <w:lang w:val="en-US" w:eastAsia="zh-CN"/>
              </w:rPr>
            </w:pPr>
            <w:r>
              <w:rPr>
                <w:rFonts w:hint="eastAsia"/>
                <w:b/>
                <w:bCs/>
                <w:vertAlign w:val="baseline"/>
                <w:lang w:val="en-US" w:eastAsia="zh-CN"/>
              </w:rPr>
              <w:t>课程简介</w:t>
            </w:r>
          </w:p>
        </w:tc>
        <w:tc>
          <w:tcPr>
            <w:tcW w:w="1345" w:type="dxa"/>
            <w:vAlign w:val="center"/>
          </w:tcPr>
          <w:p>
            <w:pPr>
              <w:jc w:val="center"/>
              <w:rPr>
                <w:rFonts w:hint="default"/>
                <w:b/>
                <w:bCs/>
                <w:vertAlign w:val="baseline"/>
                <w:lang w:val="en-US" w:eastAsia="zh-CN"/>
              </w:rPr>
            </w:pPr>
            <w:r>
              <w:rPr>
                <w:rFonts w:hint="eastAsia"/>
                <w:b/>
                <w:bCs/>
                <w:vertAlign w:val="baseline"/>
                <w:lang w:val="en-US" w:eastAsia="zh-CN"/>
              </w:rPr>
              <w:t>人数限额</w:t>
            </w:r>
          </w:p>
        </w:tc>
        <w:tc>
          <w:tcPr>
            <w:tcW w:w="1747" w:type="dxa"/>
            <w:vAlign w:val="center"/>
          </w:tcPr>
          <w:p>
            <w:pPr>
              <w:jc w:val="center"/>
              <w:rPr>
                <w:rFonts w:hint="default"/>
                <w:b/>
                <w:bCs/>
                <w:vertAlign w:val="baseline"/>
                <w:lang w:val="en-US" w:eastAsia="zh-CN"/>
              </w:rPr>
            </w:pPr>
            <w:r>
              <w:rPr>
                <w:rFonts w:hint="eastAsia"/>
                <w:b/>
                <w:bCs/>
                <w:vertAlign w:val="baseline"/>
                <w:lang w:val="en-US" w:eastAsia="zh-CN"/>
              </w:rPr>
              <w:t>选课流程/说明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691" w:type="dxa"/>
            <w:vAlign w:val="center"/>
          </w:tcPr>
          <w:p>
            <w:pPr>
              <w:jc w:val="center"/>
              <w:rPr>
                <w:rFonts w:hint="default"/>
                <w:vertAlign w:val="baseline"/>
                <w:lang w:val="en-US" w:eastAsia="zh-CN"/>
              </w:rPr>
            </w:pPr>
          </w:p>
        </w:tc>
        <w:tc>
          <w:tcPr>
            <w:tcW w:w="1496" w:type="dxa"/>
            <w:vAlign w:val="center"/>
          </w:tcPr>
          <w:p>
            <w:pPr>
              <w:jc w:val="center"/>
              <w:rPr>
                <w:rFonts w:hint="default"/>
                <w:vertAlign w:val="baseline"/>
                <w:lang w:val="en-US" w:eastAsia="zh-CN"/>
              </w:rPr>
            </w:pPr>
          </w:p>
        </w:tc>
        <w:tc>
          <w:tcPr>
            <w:tcW w:w="1389" w:type="dxa"/>
            <w:vAlign w:val="center"/>
          </w:tcPr>
          <w:p>
            <w:pPr>
              <w:jc w:val="center"/>
              <w:rPr>
                <w:rFonts w:hint="default"/>
                <w:vertAlign w:val="baseline"/>
                <w:lang w:val="en-US" w:eastAsia="zh-CN"/>
              </w:rPr>
            </w:pPr>
          </w:p>
        </w:tc>
        <w:tc>
          <w:tcPr>
            <w:tcW w:w="1334" w:type="dxa"/>
            <w:vAlign w:val="center"/>
          </w:tcPr>
          <w:p>
            <w:pPr>
              <w:jc w:val="center"/>
              <w:rPr>
                <w:rFonts w:hint="default"/>
                <w:vertAlign w:val="baseline"/>
                <w:lang w:val="en-US" w:eastAsia="zh-CN"/>
              </w:rPr>
            </w:pPr>
          </w:p>
        </w:tc>
        <w:tc>
          <w:tcPr>
            <w:tcW w:w="1588" w:type="dxa"/>
            <w:vAlign w:val="center"/>
          </w:tcPr>
          <w:p>
            <w:pPr>
              <w:jc w:val="center"/>
              <w:rPr>
                <w:rFonts w:hint="default"/>
                <w:vertAlign w:val="baseline"/>
                <w:lang w:val="en-US" w:eastAsia="zh-CN"/>
              </w:rPr>
            </w:pPr>
          </w:p>
        </w:tc>
        <w:tc>
          <w:tcPr>
            <w:tcW w:w="1578" w:type="dxa"/>
            <w:vAlign w:val="center"/>
          </w:tcPr>
          <w:p>
            <w:pPr>
              <w:jc w:val="center"/>
              <w:rPr>
                <w:rFonts w:hint="default"/>
                <w:vertAlign w:val="baseline"/>
                <w:lang w:val="en-US" w:eastAsia="zh-CN"/>
              </w:rPr>
            </w:pPr>
          </w:p>
        </w:tc>
        <w:tc>
          <w:tcPr>
            <w:tcW w:w="1556" w:type="dxa"/>
            <w:vAlign w:val="center"/>
          </w:tcPr>
          <w:p>
            <w:pPr>
              <w:jc w:val="center"/>
              <w:rPr>
                <w:rFonts w:hint="default"/>
                <w:vertAlign w:val="baseline"/>
                <w:lang w:val="en-US" w:eastAsia="zh-CN"/>
              </w:rPr>
            </w:pPr>
          </w:p>
        </w:tc>
        <w:tc>
          <w:tcPr>
            <w:tcW w:w="1444" w:type="dxa"/>
            <w:vAlign w:val="center"/>
          </w:tcPr>
          <w:p>
            <w:pPr>
              <w:jc w:val="center"/>
              <w:rPr>
                <w:rFonts w:hint="default"/>
                <w:vertAlign w:val="baseline"/>
                <w:lang w:val="en-US" w:eastAsia="zh-CN"/>
              </w:rPr>
            </w:pPr>
          </w:p>
        </w:tc>
        <w:tc>
          <w:tcPr>
            <w:tcW w:w="1345" w:type="dxa"/>
            <w:vAlign w:val="center"/>
          </w:tcPr>
          <w:p>
            <w:pPr>
              <w:jc w:val="center"/>
              <w:rPr>
                <w:rFonts w:hint="default"/>
                <w:vertAlign w:val="baseline"/>
                <w:lang w:val="en-US" w:eastAsia="zh-CN"/>
              </w:rPr>
            </w:pPr>
          </w:p>
        </w:tc>
        <w:tc>
          <w:tcPr>
            <w:tcW w:w="1747"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691" w:type="dxa"/>
            <w:vAlign w:val="center"/>
          </w:tcPr>
          <w:p>
            <w:pPr>
              <w:jc w:val="center"/>
              <w:rPr>
                <w:rFonts w:hint="default"/>
                <w:vertAlign w:val="baseline"/>
                <w:lang w:val="en-US" w:eastAsia="zh-CN"/>
              </w:rPr>
            </w:pPr>
          </w:p>
        </w:tc>
        <w:tc>
          <w:tcPr>
            <w:tcW w:w="1496" w:type="dxa"/>
            <w:vAlign w:val="center"/>
          </w:tcPr>
          <w:p>
            <w:pPr>
              <w:jc w:val="center"/>
              <w:rPr>
                <w:rFonts w:hint="default"/>
                <w:vertAlign w:val="baseline"/>
                <w:lang w:val="en-US" w:eastAsia="zh-CN"/>
              </w:rPr>
            </w:pPr>
          </w:p>
        </w:tc>
        <w:tc>
          <w:tcPr>
            <w:tcW w:w="1389" w:type="dxa"/>
            <w:vAlign w:val="center"/>
          </w:tcPr>
          <w:p>
            <w:pPr>
              <w:jc w:val="center"/>
              <w:rPr>
                <w:rFonts w:hint="default"/>
                <w:vertAlign w:val="baseline"/>
                <w:lang w:val="en-US" w:eastAsia="zh-CN"/>
              </w:rPr>
            </w:pPr>
          </w:p>
        </w:tc>
        <w:tc>
          <w:tcPr>
            <w:tcW w:w="1334" w:type="dxa"/>
            <w:vAlign w:val="center"/>
          </w:tcPr>
          <w:p>
            <w:pPr>
              <w:jc w:val="center"/>
              <w:rPr>
                <w:rFonts w:hint="default"/>
                <w:vertAlign w:val="baseline"/>
                <w:lang w:val="en-US" w:eastAsia="zh-CN"/>
              </w:rPr>
            </w:pPr>
          </w:p>
        </w:tc>
        <w:tc>
          <w:tcPr>
            <w:tcW w:w="1588" w:type="dxa"/>
            <w:vAlign w:val="center"/>
          </w:tcPr>
          <w:p>
            <w:pPr>
              <w:jc w:val="center"/>
              <w:rPr>
                <w:rFonts w:hint="default"/>
                <w:vertAlign w:val="baseline"/>
                <w:lang w:val="en-US" w:eastAsia="zh-CN"/>
              </w:rPr>
            </w:pPr>
          </w:p>
        </w:tc>
        <w:tc>
          <w:tcPr>
            <w:tcW w:w="1578" w:type="dxa"/>
            <w:vAlign w:val="center"/>
          </w:tcPr>
          <w:p>
            <w:pPr>
              <w:jc w:val="center"/>
              <w:rPr>
                <w:rFonts w:hint="default"/>
                <w:vertAlign w:val="baseline"/>
                <w:lang w:val="en-US" w:eastAsia="zh-CN"/>
              </w:rPr>
            </w:pPr>
          </w:p>
        </w:tc>
        <w:tc>
          <w:tcPr>
            <w:tcW w:w="1556" w:type="dxa"/>
            <w:vAlign w:val="center"/>
          </w:tcPr>
          <w:p>
            <w:pPr>
              <w:jc w:val="center"/>
              <w:rPr>
                <w:rFonts w:hint="default"/>
                <w:vertAlign w:val="baseline"/>
                <w:lang w:val="en-US" w:eastAsia="zh-CN"/>
              </w:rPr>
            </w:pPr>
          </w:p>
        </w:tc>
        <w:tc>
          <w:tcPr>
            <w:tcW w:w="1444" w:type="dxa"/>
            <w:vAlign w:val="center"/>
          </w:tcPr>
          <w:p>
            <w:pPr>
              <w:jc w:val="center"/>
              <w:rPr>
                <w:rFonts w:hint="default"/>
                <w:vertAlign w:val="baseline"/>
                <w:lang w:val="en-US" w:eastAsia="zh-CN"/>
              </w:rPr>
            </w:pPr>
          </w:p>
        </w:tc>
        <w:tc>
          <w:tcPr>
            <w:tcW w:w="1345" w:type="dxa"/>
            <w:vAlign w:val="center"/>
          </w:tcPr>
          <w:p>
            <w:pPr>
              <w:jc w:val="center"/>
              <w:rPr>
                <w:rFonts w:hint="default"/>
                <w:vertAlign w:val="baseline"/>
                <w:lang w:val="en-US" w:eastAsia="zh-CN"/>
              </w:rPr>
            </w:pPr>
          </w:p>
        </w:tc>
        <w:tc>
          <w:tcPr>
            <w:tcW w:w="1747"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691" w:type="dxa"/>
            <w:vAlign w:val="center"/>
          </w:tcPr>
          <w:p>
            <w:pPr>
              <w:jc w:val="center"/>
              <w:rPr>
                <w:rFonts w:hint="default"/>
                <w:vertAlign w:val="baseline"/>
                <w:lang w:val="en-US" w:eastAsia="zh-CN"/>
              </w:rPr>
            </w:pPr>
          </w:p>
        </w:tc>
        <w:tc>
          <w:tcPr>
            <w:tcW w:w="1496" w:type="dxa"/>
            <w:vAlign w:val="center"/>
          </w:tcPr>
          <w:p>
            <w:pPr>
              <w:jc w:val="center"/>
              <w:rPr>
                <w:rFonts w:hint="default"/>
                <w:vertAlign w:val="baseline"/>
                <w:lang w:val="en-US" w:eastAsia="zh-CN"/>
              </w:rPr>
            </w:pPr>
          </w:p>
        </w:tc>
        <w:tc>
          <w:tcPr>
            <w:tcW w:w="1389" w:type="dxa"/>
            <w:vAlign w:val="center"/>
          </w:tcPr>
          <w:p>
            <w:pPr>
              <w:jc w:val="center"/>
              <w:rPr>
                <w:rFonts w:hint="default"/>
                <w:vertAlign w:val="baseline"/>
                <w:lang w:val="en-US" w:eastAsia="zh-CN"/>
              </w:rPr>
            </w:pPr>
          </w:p>
        </w:tc>
        <w:tc>
          <w:tcPr>
            <w:tcW w:w="1334" w:type="dxa"/>
            <w:vAlign w:val="center"/>
          </w:tcPr>
          <w:p>
            <w:pPr>
              <w:jc w:val="center"/>
              <w:rPr>
                <w:rFonts w:hint="default"/>
                <w:vertAlign w:val="baseline"/>
                <w:lang w:val="en-US" w:eastAsia="zh-CN"/>
              </w:rPr>
            </w:pPr>
          </w:p>
        </w:tc>
        <w:tc>
          <w:tcPr>
            <w:tcW w:w="1588" w:type="dxa"/>
            <w:vAlign w:val="center"/>
          </w:tcPr>
          <w:p>
            <w:pPr>
              <w:jc w:val="center"/>
              <w:rPr>
                <w:rFonts w:hint="default"/>
                <w:vertAlign w:val="baseline"/>
                <w:lang w:val="en-US" w:eastAsia="zh-CN"/>
              </w:rPr>
            </w:pPr>
          </w:p>
        </w:tc>
        <w:tc>
          <w:tcPr>
            <w:tcW w:w="1578" w:type="dxa"/>
            <w:vAlign w:val="center"/>
          </w:tcPr>
          <w:p>
            <w:pPr>
              <w:jc w:val="center"/>
              <w:rPr>
                <w:rFonts w:hint="default"/>
                <w:vertAlign w:val="baseline"/>
                <w:lang w:val="en-US" w:eastAsia="zh-CN"/>
              </w:rPr>
            </w:pPr>
          </w:p>
        </w:tc>
        <w:tc>
          <w:tcPr>
            <w:tcW w:w="1556" w:type="dxa"/>
            <w:vAlign w:val="center"/>
          </w:tcPr>
          <w:p>
            <w:pPr>
              <w:jc w:val="center"/>
              <w:rPr>
                <w:rFonts w:hint="default"/>
                <w:vertAlign w:val="baseline"/>
                <w:lang w:val="en-US" w:eastAsia="zh-CN"/>
              </w:rPr>
            </w:pPr>
          </w:p>
        </w:tc>
        <w:tc>
          <w:tcPr>
            <w:tcW w:w="1444" w:type="dxa"/>
            <w:vAlign w:val="center"/>
          </w:tcPr>
          <w:p>
            <w:pPr>
              <w:jc w:val="center"/>
              <w:rPr>
                <w:rFonts w:hint="default"/>
                <w:vertAlign w:val="baseline"/>
                <w:lang w:val="en-US" w:eastAsia="zh-CN"/>
              </w:rPr>
            </w:pPr>
          </w:p>
        </w:tc>
        <w:tc>
          <w:tcPr>
            <w:tcW w:w="1345" w:type="dxa"/>
            <w:vAlign w:val="center"/>
          </w:tcPr>
          <w:p>
            <w:pPr>
              <w:jc w:val="center"/>
              <w:rPr>
                <w:rFonts w:hint="default"/>
                <w:vertAlign w:val="baseline"/>
                <w:lang w:val="en-US" w:eastAsia="zh-CN"/>
              </w:rPr>
            </w:pPr>
          </w:p>
        </w:tc>
        <w:tc>
          <w:tcPr>
            <w:tcW w:w="1747"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691" w:type="dxa"/>
            <w:vAlign w:val="center"/>
          </w:tcPr>
          <w:p>
            <w:pPr>
              <w:jc w:val="center"/>
              <w:rPr>
                <w:rFonts w:hint="default"/>
                <w:vertAlign w:val="baseline"/>
                <w:lang w:val="en-US" w:eastAsia="zh-CN"/>
              </w:rPr>
            </w:pPr>
          </w:p>
        </w:tc>
        <w:tc>
          <w:tcPr>
            <w:tcW w:w="1496" w:type="dxa"/>
            <w:vAlign w:val="center"/>
          </w:tcPr>
          <w:p>
            <w:pPr>
              <w:jc w:val="center"/>
              <w:rPr>
                <w:rFonts w:hint="default"/>
                <w:vertAlign w:val="baseline"/>
                <w:lang w:val="en-US" w:eastAsia="zh-CN"/>
              </w:rPr>
            </w:pPr>
          </w:p>
        </w:tc>
        <w:tc>
          <w:tcPr>
            <w:tcW w:w="1389" w:type="dxa"/>
            <w:vAlign w:val="center"/>
          </w:tcPr>
          <w:p>
            <w:pPr>
              <w:jc w:val="center"/>
              <w:rPr>
                <w:rFonts w:hint="default"/>
                <w:vertAlign w:val="baseline"/>
                <w:lang w:val="en-US" w:eastAsia="zh-CN"/>
              </w:rPr>
            </w:pPr>
          </w:p>
        </w:tc>
        <w:tc>
          <w:tcPr>
            <w:tcW w:w="1334" w:type="dxa"/>
            <w:vAlign w:val="center"/>
          </w:tcPr>
          <w:p>
            <w:pPr>
              <w:jc w:val="center"/>
              <w:rPr>
                <w:rFonts w:hint="default"/>
                <w:vertAlign w:val="baseline"/>
                <w:lang w:val="en-US" w:eastAsia="zh-CN"/>
              </w:rPr>
            </w:pPr>
          </w:p>
        </w:tc>
        <w:tc>
          <w:tcPr>
            <w:tcW w:w="1588" w:type="dxa"/>
            <w:vAlign w:val="center"/>
          </w:tcPr>
          <w:p>
            <w:pPr>
              <w:jc w:val="center"/>
              <w:rPr>
                <w:rFonts w:hint="default"/>
                <w:vertAlign w:val="baseline"/>
                <w:lang w:val="en-US" w:eastAsia="zh-CN"/>
              </w:rPr>
            </w:pPr>
          </w:p>
        </w:tc>
        <w:tc>
          <w:tcPr>
            <w:tcW w:w="1578" w:type="dxa"/>
            <w:vAlign w:val="center"/>
          </w:tcPr>
          <w:p>
            <w:pPr>
              <w:jc w:val="center"/>
              <w:rPr>
                <w:rFonts w:hint="default"/>
                <w:vertAlign w:val="baseline"/>
                <w:lang w:val="en-US" w:eastAsia="zh-CN"/>
              </w:rPr>
            </w:pPr>
          </w:p>
        </w:tc>
        <w:tc>
          <w:tcPr>
            <w:tcW w:w="1556" w:type="dxa"/>
            <w:vAlign w:val="center"/>
          </w:tcPr>
          <w:p>
            <w:pPr>
              <w:jc w:val="center"/>
              <w:rPr>
                <w:rFonts w:hint="default"/>
                <w:vertAlign w:val="baseline"/>
                <w:lang w:val="en-US" w:eastAsia="zh-CN"/>
              </w:rPr>
            </w:pPr>
          </w:p>
        </w:tc>
        <w:tc>
          <w:tcPr>
            <w:tcW w:w="1444" w:type="dxa"/>
            <w:vAlign w:val="center"/>
          </w:tcPr>
          <w:p>
            <w:pPr>
              <w:jc w:val="center"/>
              <w:rPr>
                <w:rFonts w:hint="default"/>
                <w:vertAlign w:val="baseline"/>
                <w:lang w:val="en-US" w:eastAsia="zh-CN"/>
              </w:rPr>
            </w:pPr>
          </w:p>
        </w:tc>
        <w:tc>
          <w:tcPr>
            <w:tcW w:w="1345" w:type="dxa"/>
            <w:vAlign w:val="center"/>
          </w:tcPr>
          <w:p>
            <w:pPr>
              <w:jc w:val="center"/>
              <w:rPr>
                <w:rFonts w:hint="default"/>
                <w:vertAlign w:val="baseline"/>
                <w:lang w:val="en-US" w:eastAsia="zh-CN"/>
              </w:rPr>
            </w:pPr>
          </w:p>
        </w:tc>
        <w:tc>
          <w:tcPr>
            <w:tcW w:w="1747"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691" w:type="dxa"/>
            <w:vAlign w:val="center"/>
          </w:tcPr>
          <w:p>
            <w:pPr>
              <w:jc w:val="center"/>
              <w:rPr>
                <w:rFonts w:hint="default"/>
                <w:vertAlign w:val="baseline"/>
                <w:lang w:val="en-US" w:eastAsia="zh-CN"/>
              </w:rPr>
            </w:pPr>
          </w:p>
        </w:tc>
        <w:tc>
          <w:tcPr>
            <w:tcW w:w="1496" w:type="dxa"/>
            <w:vAlign w:val="center"/>
          </w:tcPr>
          <w:p>
            <w:pPr>
              <w:jc w:val="center"/>
              <w:rPr>
                <w:rFonts w:hint="default"/>
                <w:vertAlign w:val="baseline"/>
                <w:lang w:val="en-US" w:eastAsia="zh-CN"/>
              </w:rPr>
            </w:pPr>
          </w:p>
        </w:tc>
        <w:tc>
          <w:tcPr>
            <w:tcW w:w="1389" w:type="dxa"/>
            <w:vAlign w:val="center"/>
          </w:tcPr>
          <w:p>
            <w:pPr>
              <w:jc w:val="center"/>
              <w:rPr>
                <w:rFonts w:hint="default"/>
                <w:vertAlign w:val="baseline"/>
                <w:lang w:val="en-US" w:eastAsia="zh-CN"/>
              </w:rPr>
            </w:pPr>
          </w:p>
        </w:tc>
        <w:tc>
          <w:tcPr>
            <w:tcW w:w="1334" w:type="dxa"/>
            <w:vAlign w:val="center"/>
          </w:tcPr>
          <w:p>
            <w:pPr>
              <w:jc w:val="center"/>
              <w:rPr>
                <w:rFonts w:hint="default"/>
                <w:vertAlign w:val="baseline"/>
                <w:lang w:val="en-US" w:eastAsia="zh-CN"/>
              </w:rPr>
            </w:pPr>
          </w:p>
        </w:tc>
        <w:tc>
          <w:tcPr>
            <w:tcW w:w="1588" w:type="dxa"/>
            <w:vAlign w:val="center"/>
          </w:tcPr>
          <w:p>
            <w:pPr>
              <w:jc w:val="center"/>
              <w:rPr>
                <w:rFonts w:hint="default"/>
                <w:vertAlign w:val="baseline"/>
                <w:lang w:val="en-US" w:eastAsia="zh-CN"/>
              </w:rPr>
            </w:pPr>
          </w:p>
        </w:tc>
        <w:tc>
          <w:tcPr>
            <w:tcW w:w="1578" w:type="dxa"/>
            <w:vAlign w:val="center"/>
          </w:tcPr>
          <w:p>
            <w:pPr>
              <w:jc w:val="center"/>
              <w:rPr>
                <w:rFonts w:hint="default"/>
                <w:vertAlign w:val="baseline"/>
                <w:lang w:val="en-US" w:eastAsia="zh-CN"/>
              </w:rPr>
            </w:pPr>
          </w:p>
        </w:tc>
        <w:tc>
          <w:tcPr>
            <w:tcW w:w="1556" w:type="dxa"/>
            <w:vAlign w:val="center"/>
          </w:tcPr>
          <w:p>
            <w:pPr>
              <w:jc w:val="center"/>
              <w:rPr>
                <w:rFonts w:hint="default"/>
                <w:vertAlign w:val="baseline"/>
                <w:lang w:val="en-US" w:eastAsia="zh-CN"/>
              </w:rPr>
            </w:pPr>
          </w:p>
        </w:tc>
        <w:tc>
          <w:tcPr>
            <w:tcW w:w="1444" w:type="dxa"/>
            <w:vAlign w:val="center"/>
          </w:tcPr>
          <w:p>
            <w:pPr>
              <w:jc w:val="center"/>
              <w:rPr>
                <w:rFonts w:hint="default"/>
                <w:vertAlign w:val="baseline"/>
                <w:lang w:val="en-US" w:eastAsia="zh-CN"/>
              </w:rPr>
            </w:pPr>
          </w:p>
        </w:tc>
        <w:tc>
          <w:tcPr>
            <w:tcW w:w="1345" w:type="dxa"/>
            <w:vAlign w:val="center"/>
          </w:tcPr>
          <w:p>
            <w:pPr>
              <w:jc w:val="center"/>
              <w:rPr>
                <w:rFonts w:hint="default"/>
                <w:vertAlign w:val="baseline"/>
                <w:lang w:val="en-US" w:eastAsia="zh-CN"/>
              </w:rPr>
            </w:pPr>
          </w:p>
        </w:tc>
        <w:tc>
          <w:tcPr>
            <w:tcW w:w="1747"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691" w:type="dxa"/>
            <w:vAlign w:val="center"/>
          </w:tcPr>
          <w:p>
            <w:pPr>
              <w:jc w:val="center"/>
              <w:rPr>
                <w:rFonts w:hint="default"/>
                <w:vertAlign w:val="baseline"/>
                <w:lang w:val="en-US" w:eastAsia="zh-CN"/>
              </w:rPr>
            </w:pPr>
          </w:p>
        </w:tc>
        <w:tc>
          <w:tcPr>
            <w:tcW w:w="1496" w:type="dxa"/>
            <w:vAlign w:val="center"/>
          </w:tcPr>
          <w:p>
            <w:pPr>
              <w:jc w:val="center"/>
              <w:rPr>
                <w:rFonts w:hint="default"/>
                <w:vertAlign w:val="baseline"/>
                <w:lang w:val="en-US" w:eastAsia="zh-CN"/>
              </w:rPr>
            </w:pPr>
          </w:p>
        </w:tc>
        <w:tc>
          <w:tcPr>
            <w:tcW w:w="1389" w:type="dxa"/>
            <w:vAlign w:val="center"/>
          </w:tcPr>
          <w:p>
            <w:pPr>
              <w:jc w:val="center"/>
              <w:rPr>
                <w:rFonts w:hint="default"/>
                <w:vertAlign w:val="baseline"/>
                <w:lang w:val="en-US" w:eastAsia="zh-CN"/>
              </w:rPr>
            </w:pPr>
          </w:p>
        </w:tc>
        <w:tc>
          <w:tcPr>
            <w:tcW w:w="1334" w:type="dxa"/>
            <w:vAlign w:val="center"/>
          </w:tcPr>
          <w:p>
            <w:pPr>
              <w:jc w:val="center"/>
              <w:rPr>
                <w:rFonts w:hint="default"/>
                <w:vertAlign w:val="baseline"/>
                <w:lang w:val="en-US" w:eastAsia="zh-CN"/>
              </w:rPr>
            </w:pPr>
          </w:p>
        </w:tc>
        <w:tc>
          <w:tcPr>
            <w:tcW w:w="1588" w:type="dxa"/>
            <w:vAlign w:val="center"/>
          </w:tcPr>
          <w:p>
            <w:pPr>
              <w:jc w:val="center"/>
              <w:rPr>
                <w:rFonts w:hint="default"/>
                <w:vertAlign w:val="baseline"/>
                <w:lang w:val="en-US" w:eastAsia="zh-CN"/>
              </w:rPr>
            </w:pPr>
          </w:p>
        </w:tc>
        <w:tc>
          <w:tcPr>
            <w:tcW w:w="1578" w:type="dxa"/>
            <w:vAlign w:val="center"/>
          </w:tcPr>
          <w:p>
            <w:pPr>
              <w:jc w:val="center"/>
              <w:rPr>
                <w:rFonts w:hint="default"/>
                <w:vertAlign w:val="baseline"/>
                <w:lang w:val="en-US" w:eastAsia="zh-CN"/>
              </w:rPr>
            </w:pPr>
          </w:p>
        </w:tc>
        <w:tc>
          <w:tcPr>
            <w:tcW w:w="1556" w:type="dxa"/>
            <w:vAlign w:val="center"/>
          </w:tcPr>
          <w:p>
            <w:pPr>
              <w:jc w:val="center"/>
              <w:rPr>
                <w:rFonts w:hint="default"/>
                <w:vertAlign w:val="baseline"/>
                <w:lang w:val="en-US" w:eastAsia="zh-CN"/>
              </w:rPr>
            </w:pPr>
          </w:p>
        </w:tc>
        <w:tc>
          <w:tcPr>
            <w:tcW w:w="1444" w:type="dxa"/>
            <w:vAlign w:val="center"/>
          </w:tcPr>
          <w:p>
            <w:pPr>
              <w:jc w:val="center"/>
              <w:rPr>
                <w:rFonts w:hint="default"/>
                <w:vertAlign w:val="baseline"/>
                <w:lang w:val="en-US" w:eastAsia="zh-CN"/>
              </w:rPr>
            </w:pPr>
          </w:p>
        </w:tc>
        <w:tc>
          <w:tcPr>
            <w:tcW w:w="1345" w:type="dxa"/>
            <w:vAlign w:val="center"/>
          </w:tcPr>
          <w:p>
            <w:pPr>
              <w:jc w:val="center"/>
              <w:rPr>
                <w:rFonts w:hint="default"/>
                <w:vertAlign w:val="baseline"/>
                <w:lang w:val="en-US" w:eastAsia="zh-CN"/>
              </w:rPr>
            </w:pPr>
          </w:p>
        </w:tc>
        <w:tc>
          <w:tcPr>
            <w:tcW w:w="1747"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691" w:type="dxa"/>
            <w:vAlign w:val="center"/>
          </w:tcPr>
          <w:p>
            <w:pPr>
              <w:jc w:val="center"/>
              <w:rPr>
                <w:rFonts w:hint="default"/>
                <w:vertAlign w:val="baseline"/>
                <w:lang w:val="en-US" w:eastAsia="zh-CN"/>
              </w:rPr>
            </w:pPr>
          </w:p>
        </w:tc>
        <w:tc>
          <w:tcPr>
            <w:tcW w:w="1496" w:type="dxa"/>
            <w:vAlign w:val="center"/>
          </w:tcPr>
          <w:p>
            <w:pPr>
              <w:jc w:val="center"/>
              <w:rPr>
                <w:rFonts w:hint="default"/>
                <w:vertAlign w:val="baseline"/>
                <w:lang w:val="en-US" w:eastAsia="zh-CN"/>
              </w:rPr>
            </w:pPr>
          </w:p>
        </w:tc>
        <w:tc>
          <w:tcPr>
            <w:tcW w:w="1389" w:type="dxa"/>
            <w:vAlign w:val="center"/>
          </w:tcPr>
          <w:p>
            <w:pPr>
              <w:jc w:val="center"/>
              <w:rPr>
                <w:rFonts w:hint="default"/>
                <w:vertAlign w:val="baseline"/>
                <w:lang w:val="en-US" w:eastAsia="zh-CN"/>
              </w:rPr>
            </w:pPr>
          </w:p>
        </w:tc>
        <w:tc>
          <w:tcPr>
            <w:tcW w:w="1334" w:type="dxa"/>
            <w:vAlign w:val="center"/>
          </w:tcPr>
          <w:p>
            <w:pPr>
              <w:jc w:val="center"/>
              <w:rPr>
                <w:rFonts w:hint="default"/>
                <w:vertAlign w:val="baseline"/>
                <w:lang w:val="en-US" w:eastAsia="zh-CN"/>
              </w:rPr>
            </w:pPr>
          </w:p>
        </w:tc>
        <w:tc>
          <w:tcPr>
            <w:tcW w:w="1588" w:type="dxa"/>
            <w:vAlign w:val="center"/>
          </w:tcPr>
          <w:p>
            <w:pPr>
              <w:jc w:val="center"/>
              <w:rPr>
                <w:rFonts w:hint="default"/>
                <w:vertAlign w:val="baseline"/>
                <w:lang w:val="en-US" w:eastAsia="zh-CN"/>
              </w:rPr>
            </w:pPr>
          </w:p>
        </w:tc>
        <w:tc>
          <w:tcPr>
            <w:tcW w:w="1578" w:type="dxa"/>
            <w:vAlign w:val="center"/>
          </w:tcPr>
          <w:p>
            <w:pPr>
              <w:jc w:val="center"/>
              <w:rPr>
                <w:rFonts w:hint="default"/>
                <w:vertAlign w:val="baseline"/>
                <w:lang w:val="en-US" w:eastAsia="zh-CN"/>
              </w:rPr>
            </w:pPr>
          </w:p>
        </w:tc>
        <w:tc>
          <w:tcPr>
            <w:tcW w:w="1556" w:type="dxa"/>
            <w:vAlign w:val="center"/>
          </w:tcPr>
          <w:p>
            <w:pPr>
              <w:jc w:val="center"/>
              <w:rPr>
                <w:rFonts w:hint="default"/>
                <w:vertAlign w:val="baseline"/>
                <w:lang w:val="en-US" w:eastAsia="zh-CN"/>
              </w:rPr>
            </w:pPr>
          </w:p>
        </w:tc>
        <w:tc>
          <w:tcPr>
            <w:tcW w:w="1444" w:type="dxa"/>
            <w:vAlign w:val="center"/>
          </w:tcPr>
          <w:p>
            <w:pPr>
              <w:jc w:val="center"/>
              <w:rPr>
                <w:rFonts w:hint="default"/>
                <w:vertAlign w:val="baseline"/>
                <w:lang w:val="en-US" w:eastAsia="zh-CN"/>
              </w:rPr>
            </w:pPr>
          </w:p>
        </w:tc>
        <w:tc>
          <w:tcPr>
            <w:tcW w:w="1345" w:type="dxa"/>
            <w:vAlign w:val="center"/>
          </w:tcPr>
          <w:p>
            <w:pPr>
              <w:jc w:val="center"/>
              <w:rPr>
                <w:rFonts w:hint="default"/>
                <w:vertAlign w:val="baseline"/>
                <w:lang w:val="en-US" w:eastAsia="zh-CN"/>
              </w:rPr>
            </w:pPr>
          </w:p>
        </w:tc>
        <w:tc>
          <w:tcPr>
            <w:tcW w:w="1747"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691" w:type="dxa"/>
            <w:vAlign w:val="center"/>
          </w:tcPr>
          <w:p>
            <w:pPr>
              <w:jc w:val="center"/>
              <w:rPr>
                <w:rFonts w:hint="default"/>
                <w:vertAlign w:val="baseline"/>
                <w:lang w:val="en-US" w:eastAsia="zh-CN"/>
              </w:rPr>
            </w:pPr>
          </w:p>
        </w:tc>
        <w:tc>
          <w:tcPr>
            <w:tcW w:w="1496" w:type="dxa"/>
            <w:vAlign w:val="center"/>
          </w:tcPr>
          <w:p>
            <w:pPr>
              <w:jc w:val="center"/>
              <w:rPr>
                <w:rFonts w:hint="default"/>
                <w:vertAlign w:val="baseline"/>
                <w:lang w:val="en-US" w:eastAsia="zh-CN"/>
              </w:rPr>
            </w:pPr>
          </w:p>
        </w:tc>
        <w:tc>
          <w:tcPr>
            <w:tcW w:w="1389" w:type="dxa"/>
            <w:vAlign w:val="center"/>
          </w:tcPr>
          <w:p>
            <w:pPr>
              <w:jc w:val="center"/>
              <w:rPr>
                <w:rFonts w:hint="default"/>
                <w:vertAlign w:val="baseline"/>
                <w:lang w:val="en-US" w:eastAsia="zh-CN"/>
              </w:rPr>
            </w:pPr>
          </w:p>
        </w:tc>
        <w:tc>
          <w:tcPr>
            <w:tcW w:w="1334" w:type="dxa"/>
            <w:vAlign w:val="center"/>
          </w:tcPr>
          <w:p>
            <w:pPr>
              <w:jc w:val="center"/>
              <w:rPr>
                <w:rFonts w:hint="default"/>
                <w:vertAlign w:val="baseline"/>
                <w:lang w:val="en-US" w:eastAsia="zh-CN"/>
              </w:rPr>
            </w:pPr>
          </w:p>
        </w:tc>
        <w:tc>
          <w:tcPr>
            <w:tcW w:w="1588" w:type="dxa"/>
            <w:vAlign w:val="center"/>
          </w:tcPr>
          <w:p>
            <w:pPr>
              <w:jc w:val="center"/>
              <w:rPr>
                <w:rFonts w:hint="default"/>
                <w:vertAlign w:val="baseline"/>
                <w:lang w:val="en-US" w:eastAsia="zh-CN"/>
              </w:rPr>
            </w:pPr>
          </w:p>
        </w:tc>
        <w:tc>
          <w:tcPr>
            <w:tcW w:w="1578" w:type="dxa"/>
            <w:vAlign w:val="center"/>
          </w:tcPr>
          <w:p>
            <w:pPr>
              <w:jc w:val="center"/>
              <w:rPr>
                <w:rFonts w:hint="default"/>
                <w:vertAlign w:val="baseline"/>
                <w:lang w:val="en-US" w:eastAsia="zh-CN"/>
              </w:rPr>
            </w:pPr>
          </w:p>
        </w:tc>
        <w:tc>
          <w:tcPr>
            <w:tcW w:w="1556" w:type="dxa"/>
            <w:vAlign w:val="center"/>
          </w:tcPr>
          <w:p>
            <w:pPr>
              <w:jc w:val="center"/>
              <w:rPr>
                <w:rFonts w:hint="default"/>
                <w:vertAlign w:val="baseline"/>
                <w:lang w:val="en-US" w:eastAsia="zh-CN"/>
              </w:rPr>
            </w:pPr>
          </w:p>
        </w:tc>
        <w:tc>
          <w:tcPr>
            <w:tcW w:w="1444" w:type="dxa"/>
            <w:vAlign w:val="center"/>
          </w:tcPr>
          <w:p>
            <w:pPr>
              <w:jc w:val="center"/>
              <w:rPr>
                <w:rFonts w:hint="default"/>
                <w:vertAlign w:val="baseline"/>
                <w:lang w:val="en-US" w:eastAsia="zh-CN"/>
              </w:rPr>
            </w:pPr>
          </w:p>
        </w:tc>
        <w:tc>
          <w:tcPr>
            <w:tcW w:w="1345" w:type="dxa"/>
            <w:vAlign w:val="center"/>
          </w:tcPr>
          <w:p>
            <w:pPr>
              <w:jc w:val="center"/>
              <w:rPr>
                <w:rFonts w:hint="default"/>
                <w:vertAlign w:val="baseline"/>
                <w:lang w:val="en-US" w:eastAsia="zh-CN"/>
              </w:rPr>
            </w:pPr>
          </w:p>
        </w:tc>
        <w:tc>
          <w:tcPr>
            <w:tcW w:w="1747" w:type="dxa"/>
            <w:vAlign w:val="center"/>
          </w:tcPr>
          <w:p>
            <w:pPr>
              <w:jc w:val="center"/>
              <w:rPr>
                <w:rFonts w:hint="default"/>
                <w:vertAlign w:val="baseline"/>
                <w:lang w:val="en-US" w:eastAsia="zh-CN"/>
              </w:rPr>
            </w:pPr>
          </w:p>
        </w:tc>
      </w:tr>
    </w:tbl>
    <w:p>
      <w:pPr>
        <w:rPr>
          <w:rFonts w:hint="default"/>
          <w:color w:val="FF0000"/>
          <w:sz w:val="44"/>
          <w:szCs w:val="44"/>
          <w:lang w:val="en-US" w:eastAsia="zh-CN"/>
        </w:rPr>
        <w:sectPr>
          <w:pgSz w:w="16838" w:h="11906" w:orient="landscape"/>
          <w:pgMar w:top="1800" w:right="1440" w:bottom="1800" w:left="1440" w:header="851" w:footer="992" w:gutter="0"/>
          <w:cols w:space="425" w:num="1"/>
          <w:docGrid w:type="lines" w:linePitch="312" w:charSpace="0"/>
        </w:sectPr>
      </w:pPr>
    </w:p>
    <w:p>
      <w:pPr>
        <w:rPr>
          <w:rFonts w:hint="eastAsia" w:ascii="仿宋_GB2312" w:hAnsi="微软雅黑" w:eastAsia="仿宋_GB2312"/>
          <w:color w:val="000000"/>
          <w:sz w:val="30"/>
          <w:szCs w:val="30"/>
          <w:lang w:val="en-US" w:eastAsia="zh-CN"/>
        </w:rPr>
      </w:pPr>
      <w:r>
        <w:rPr>
          <w:rFonts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-97155</wp:posOffset>
            </wp:positionH>
            <wp:positionV relativeFrom="paragraph">
              <wp:posOffset>514350</wp:posOffset>
            </wp:positionV>
            <wp:extent cx="5438140" cy="7924800"/>
            <wp:effectExtent l="0" t="0" r="10160" b="0"/>
            <wp:wrapSquare wrapText="bothSides"/>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5438140" cy="7924800"/>
                    </a:xfrm>
                    <a:prstGeom prst="rect">
                      <a:avLst/>
                    </a:prstGeom>
                    <a:noFill/>
                    <a:ln w="9525">
                      <a:noFill/>
                    </a:ln>
                  </pic:spPr>
                </pic:pic>
              </a:graphicData>
            </a:graphic>
          </wp:anchor>
        </w:drawing>
      </w:r>
      <w:r>
        <w:rPr>
          <w:rFonts w:hint="eastAsia" w:ascii="仿宋_GB2312" w:hAnsi="微软雅黑" w:eastAsia="仿宋_GB2312"/>
          <w:color w:val="000000"/>
          <w:sz w:val="30"/>
          <w:szCs w:val="30"/>
          <w:lang w:val="en-US" w:eastAsia="zh-CN"/>
        </w:rPr>
        <w:t>附件3：联盟校际课程互选学分互认合作议定书</w:t>
      </w:r>
    </w:p>
    <w:p>
      <w:pPr>
        <w:rPr>
          <w:rFonts w:hint="default" w:ascii="仿宋_GB2312" w:hAnsi="微软雅黑" w:eastAsia="仿宋_GB2312"/>
          <w:color w:val="000000"/>
          <w:sz w:val="30"/>
          <w:szCs w:val="30"/>
          <w:lang w:val="en-US" w:eastAsia="zh-CN"/>
        </w:rPr>
      </w:pPr>
    </w:p>
    <w:p>
      <w:pPr>
        <w:rPr>
          <w:rFonts w:ascii="宋体" w:hAnsi="宋体" w:eastAsia="宋体" w:cs="宋体"/>
          <w:sz w:val="24"/>
          <w:szCs w:val="24"/>
        </w:rPr>
      </w:pPr>
      <w:r>
        <w:rPr>
          <w:rFonts w:ascii="宋体" w:hAnsi="宋体" w:eastAsia="宋体" w:cs="宋体"/>
          <w:sz w:val="24"/>
          <w:szCs w:val="24"/>
        </w:rPr>
        <w:drawing>
          <wp:inline distT="0" distB="0" distL="114300" distR="114300">
            <wp:extent cx="5292725" cy="7566660"/>
            <wp:effectExtent l="0" t="0" r="3175" b="254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5"/>
                    <a:stretch>
                      <a:fillRect/>
                    </a:stretch>
                  </pic:blipFill>
                  <pic:spPr>
                    <a:xfrm>
                      <a:off x="0" y="0"/>
                      <a:ext cx="5292725" cy="7566660"/>
                    </a:xfrm>
                    <a:prstGeom prst="rect">
                      <a:avLst/>
                    </a:prstGeom>
                    <a:noFill/>
                    <a:ln w="9525">
                      <a:noFill/>
                    </a:ln>
                  </pic:spPr>
                </pic:pic>
              </a:graphicData>
            </a:graphic>
          </wp:inline>
        </w:drawing>
      </w: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hint="default" w:ascii="宋体" w:hAnsi="宋体" w:eastAsia="宋体" w:cs="宋体"/>
          <w:sz w:val="24"/>
          <w:szCs w:val="24"/>
          <w:lang w:val="en-US" w:eastAsia="zh-CN"/>
        </w:rPr>
      </w:pPr>
      <w:r>
        <w:rPr>
          <w:rFonts w:ascii="宋体" w:hAnsi="宋体" w:eastAsia="宋体" w:cs="宋体"/>
          <w:sz w:val="24"/>
          <w:szCs w:val="24"/>
        </w:rPr>
        <w:drawing>
          <wp:inline distT="0" distB="0" distL="114300" distR="114300">
            <wp:extent cx="5436870" cy="8008620"/>
            <wp:effectExtent l="0" t="0" r="11430" b="508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6"/>
                    <a:stretch>
                      <a:fillRect/>
                    </a:stretch>
                  </pic:blipFill>
                  <pic:spPr>
                    <a:xfrm>
                      <a:off x="0" y="0"/>
                      <a:ext cx="5436870" cy="8008620"/>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C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35B91"/>
    <w:rsid w:val="000B516B"/>
    <w:rsid w:val="001A7B54"/>
    <w:rsid w:val="00251004"/>
    <w:rsid w:val="00260B61"/>
    <w:rsid w:val="002771C2"/>
    <w:rsid w:val="002A5F7E"/>
    <w:rsid w:val="0041287E"/>
    <w:rsid w:val="00554F32"/>
    <w:rsid w:val="00616687"/>
    <w:rsid w:val="007544DD"/>
    <w:rsid w:val="0075725D"/>
    <w:rsid w:val="00802B7C"/>
    <w:rsid w:val="008D200E"/>
    <w:rsid w:val="00945F44"/>
    <w:rsid w:val="009A5A51"/>
    <w:rsid w:val="00A2707D"/>
    <w:rsid w:val="00A3470B"/>
    <w:rsid w:val="00A3665A"/>
    <w:rsid w:val="00B202FE"/>
    <w:rsid w:val="00C95FC7"/>
    <w:rsid w:val="00D11732"/>
    <w:rsid w:val="00DE3995"/>
    <w:rsid w:val="00E46146"/>
    <w:rsid w:val="00ED202F"/>
    <w:rsid w:val="00FE5677"/>
    <w:rsid w:val="01006ADC"/>
    <w:rsid w:val="0106583E"/>
    <w:rsid w:val="01081D16"/>
    <w:rsid w:val="01094260"/>
    <w:rsid w:val="011C6129"/>
    <w:rsid w:val="011F08F8"/>
    <w:rsid w:val="0120569E"/>
    <w:rsid w:val="0132783D"/>
    <w:rsid w:val="01364285"/>
    <w:rsid w:val="013A3BF9"/>
    <w:rsid w:val="0144115D"/>
    <w:rsid w:val="0146594F"/>
    <w:rsid w:val="016E6CAE"/>
    <w:rsid w:val="018554F2"/>
    <w:rsid w:val="01982218"/>
    <w:rsid w:val="01AD3795"/>
    <w:rsid w:val="01BC6FCE"/>
    <w:rsid w:val="01DE2AA7"/>
    <w:rsid w:val="01E46C6A"/>
    <w:rsid w:val="01F078C9"/>
    <w:rsid w:val="01F1594A"/>
    <w:rsid w:val="01F96E1F"/>
    <w:rsid w:val="021E4115"/>
    <w:rsid w:val="02205167"/>
    <w:rsid w:val="022D4179"/>
    <w:rsid w:val="02317AF5"/>
    <w:rsid w:val="02337E29"/>
    <w:rsid w:val="023804F6"/>
    <w:rsid w:val="02394D76"/>
    <w:rsid w:val="02460930"/>
    <w:rsid w:val="024F2654"/>
    <w:rsid w:val="02500A7D"/>
    <w:rsid w:val="02525F2E"/>
    <w:rsid w:val="025C7E7B"/>
    <w:rsid w:val="02733358"/>
    <w:rsid w:val="0285020B"/>
    <w:rsid w:val="028642E4"/>
    <w:rsid w:val="02A61B36"/>
    <w:rsid w:val="02C62933"/>
    <w:rsid w:val="02F4316D"/>
    <w:rsid w:val="031B00BE"/>
    <w:rsid w:val="031B3A94"/>
    <w:rsid w:val="03271D18"/>
    <w:rsid w:val="033403D8"/>
    <w:rsid w:val="033C6CB5"/>
    <w:rsid w:val="03497675"/>
    <w:rsid w:val="035010B1"/>
    <w:rsid w:val="035908E1"/>
    <w:rsid w:val="035A307B"/>
    <w:rsid w:val="035B3849"/>
    <w:rsid w:val="03604B36"/>
    <w:rsid w:val="03883168"/>
    <w:rsid w:val="03897E02"/>
    <w:rsid w:val="039263F2"/>
    <w:rsid w:val="039A62E0"/>
    <w:rsid w:val="03AB498B"/>
    <w:rsid w:val="03AD58A1"/>
    <w:rsid w:val="03C33FEB"/>
    <w:rsid w:val="03CD001C"/>
    <w:rsid w:val="03CF55FE"/>
    <w:rsid w:val="03D360EE"/>
    <w:rsid w:val="03D46406"/>
    <w:rsid w:val="03E07A24"/>
    <w:rsid w:val="03E94B2B"/>
    <w:rsid w:val="03F814A0"/>
    <w:rsid w:val="04062221"/>
    <w:rsid w:val="04106F14"/>
    <w:rsid w:val="04112129"/>
    <w:rsid w:val="04161698"/>
    <w:rsid w:val="04167999"/>
    <w:rsid w:val="041A2F36"/>
    <w:rsid w:val="041E2FD4"/>
    <w:rsid w:val="04221DEB"/>
    <w:rsid w:val="045A4216"/>
    <w:rsid w:val="047609BD"/>
    <w:rsid w:val="04781CC1"/>
    <w:rsid w:val="04862BDB"/>
    <w:rsid w:val="049E7251"/>
    <w:rsid w:val="04C347DA"/>
    <w:rsid w:val="04D550AF"/>
    <w:rsid w:val="04EF52C3"/>
    <w:rsid w:val="04F70D1E"/>
    <w:rsid w:val="05032DF2"/>
    <w:rsid w:val="05045994"/>
    <w:rsid w:val="050F1FAA"/>
    <w:rsid w:val="050F3716"/>
    <w:rsid w:val="051B14C7"/>
    <w:rsid w:val="052C27D1"/>
    <w:rsid w:val="05356D59"/>
    <w:rsid w:val="053A125F"/>
    <w:rsid w:val="054063EA"/>
    <w:rsid w:val="05455DD8"/>
    <w:rsid w:val="0589597D"/>
    <w:rsid w:val="059C2EE6"/>
    <w:rsid w:val="05A36F5B"/>
    <w:rsid w:val="05A63FA3"/>
    <w:rsid w:val="05AF3C48"/>
    <w:rsid w:val="05B64EE1"/>
    <w:rsid w:val="05D00F0B"/>
    <w:rsid w:val="05DC1032"/>
    <w:rsid w:val="05E3096E"/>
    <w:rsid w:val="05E54E28"/>
    <w:rsid w:val="05FA04AE"/>
    <w:rsid w:val="06000A9D"/>
    <w:rsid w:val="06143D35"/>
    <w:rsid w:val="061A0865"/>
    <w:rsid w:val="06296DCC"/>
    <w:rsid w:val="062E5813"/>
    <w:rsid w:val="06301F6E"/>
    <w:rsid w:val="063A128F"/>
    <w:rsid w:val="063B47DD"/>
    <w:rsid w:val="064A387B"/>
    <w:rsid w:val="065300BB"/>
    <w:rsid w:val="0671705A"/>
    <w:rsid w:val="06C15ECA"/>
    <w:rsid w:val="06C55BA9"/>
    <w:rsid w:val="06CB6AC4"/>
    <w:rsid w:val="06E42253"/>
    <w:rsid w:val="06E42F1D"/>
    <w:rsid w:val="06E8396A"/>
    <w:rsid w:val="06ED4932"/>
    <w:rsid w:val="06ED66A6"/>
    <w:rsid w:val="071C0D73"/>
    <w:rsid w:val="071E67D9"/>
    <w:rsid w:val="07274686"/>
    <w:rsid w:val="072A6067"/>
    <w:rsid w:val="07322345"/>
    <w:rsid w:val="07345BC6"/>
    <w:rsid w:val="07462845"/>
    <w:rsid w:val="07610E7C"/>
    <w:rsid w:val="076F7C58"/>
    <w:rsid w:val="07750894"/>
    <w:rsid w:val="077F2BD0"/>
    <w:rsid w:val="0781612B"/>
    <w:rsid w:val="07851ECF"/>
    <w:rsid w:val="078B414B"/>
    <w:rsid w:val="078E6978"/>
    <w:rsid w:val="07921F2D"/>
    <w:rsid w:val="07962F5C"/>
    <w:rsid w:val="07A576DD"/>
    <w:rsid w:val="07D57174"/>
    <w:rsid w:val="07E85F3B"/>
    <w:rsid w:val="07FB1299"/>
    <w:rsid w:val="080263F8"/>
    <w:rsid w:val="08194E40"/>
    <w:rsid w:val="081C0E48"/>
    <w:rsid w:val="08287C94"/>
    <w:rsid w:val="082F46B2"/>
    <w:rsid w:val="083C16FA"/>
    <w:rsid w:val="08422A5C"/>
    <w:rsid w:val="08490B46"/>
    <w:rsid w:val="084B18DB"/>
    <w:rsid w:val="08793FA4"/>
    <w:rsid w:val="08827ED7"/>
    <w:rsid w:val="088F51D5"/>
    <w:rsid w:val="089017E9"/>
    <w:rsid w:val="08A15056"/>
    <w:rsid w:val="08A45C29"/>
    <w:rsid w:val="08C32EC4"/>
    <w:rsid w:val="08C92F57"/>
    <w:rsid w:val="08CF3CC3"/>
    <w:rsid w:val="08D14072"/>
    <w:rsid w:val="08D24D0B"/>
    <w:rsid w:val="08DC55A9"/>
    <w:rsid w:val="08EC1B1E"/>
    <w:rsid w:val="08F63846"/>
    <w:rsid w:val="08FE0B0A"/>
    <w:rsid w:val="08FF6642"/>
    <w:rsid w:val="09251085"/>
    <w:rsid w:val="09353D50"/>
    <w:rsid w:val="09406D85"/>
    <w:rsid w:val="09575855"/>
    <w:rsid w:val="09904175"/>
    <w:rsid w:val="09951540"/>
    <w:rsid w:val="09A94305"/>
    <w:rsid w:val="09AC67BE"/>
    <w:rsid w:val="09B958F0"/>
    <w:rsid w:val="09D060DE"/>
    <w:rsid w:val="09DC2A3C"/>
    <w:rsid w:val="0A1D552E"/>
    <w:rsid w:val="0A225CB5"/>
    <w:rsid w:val="0A2778DF"/>
    <w:rsid w:val="0A29737B"/>
    <w:rsid w:val="0A2C3DE2"/>
    <w:rsid w:val="0A352801"/>
    <w:rsid w:val="0A3802A8"/>
    <w:rsid w:val="0A4037D1"/>
    <w:rsid w:val="0A470664"/>
    <w:rsid w:val="0A4725AB"/>
    <w:rsid w:val="0A7113D6"/>
    <w:rsid w:val="0A8F5B11"/>
    <w:rsid w:val="0A9773AD"/>
    <w:rsid w:val="0A9D52F0"/>
    <w:rsid w:val="0A9F79D9"/>
    <w:rsid w:val="0AA07F0D"/>
    <w:rsid w:val="0AB37C41"/>
    <w:rsid w:val="0ACB641D"/>
    <w:rsid w:val="0ADE6FF6"/>
    <w:rsid w:val="0B290A1E"/>
    <w:rsid w:val="0B403AB3"/>
    <w:rsid w:val="0B4057FB"/>
    <w:rsid w:val="0B4E5BBB"/>
    <w:rsid w:val="0B5777F2"/>
    <w:rsid w:val="0B631B05"/>
    <w:rsid w:val="0B7871F2"/>
    <w:rsid w:val="0BAE0408"/>
    <w:rsid w:val="0BB13191"/>
    <w:rsid w:val="0BBB5E82"/>
    <w:rsid w:val="0BC50B8C"/>
    <w:rsid w:val="0BC7392E"/>
    <w:rsid w:val="0BD0052D"/>
    <w:rsid w:val="0BD11CFF"/>
    <w:rsid w:val="0BD460C1"/>
    <w:rsid w:val="0BDB58C7"/>
    <w:rsid w:val="0BF828ED"/>
    <w:rsid w:val="0BFD7BD7"/>
    <w:rsid w:val="0C084042"/>
    <w:rsid w:val="0C0E281E"/>
    <w:rsid w:val="0C201379"/>
    <w:rsid w:val="0C206D52"/>
    <w:rsid w:val="0C3B0118"/>
    <w:rsid w:val="0C414622"/>
    <w:rsid w:val="0C41640C"/>
    <w:rsid w:val="0C421300"/>
    <w:rsid w:val="0C430B50"/>
    <w:rsid w:val="0C4E48D9"/>
    <w:rsid w:val="0C782EF9"/>
    <w:rsid w:val="0C98229E"/>
    <w:rsid w:val="0CA02ACB"/>
    <w:rsid w:val="0CB10552"/>
    <w:rsid w:val="0CB33C99"/>
    <w:rsid w:val="0CB576CE"/>
    <w:rsid w:val="0CC75BC7"/>
    <w:rsid w:val="0CC832F9"/>
    <w:rsid w:val="0CDD69AB"/>
    <w:rsid w:val="0CFE22A1"/>
    <w:rsid w:val="0D0C29F6"/>
    <w:rsid w:val="0D1D0B68"/>
    <w:rsid w:val="0D252FB8"/>
    <w:rsid w:val="0D313BA0"/>
    <w:rsid w:val="0D3A1C7E"/>
    <w:rsid w:val="0D4243F3"/>
    <w:rsid w:val="0D5903E0"/>
    <w:rsid w:val="0D6703ED"/>
    <w:rsid w:val="0D674D12"/>
    <w:rsid w:val="0D6E2659"/>
    <w:rsid w:val="0D702881"/>
    <w:rsid w:val="0D706FF6"/>
    <w:rsid w:val="0D7E55EE"/>
    <w:rsid w:val="0D870D28"/>
    <w:rsid w:val="0D896A37"/>
    <w:rsid w:val="0D98311E"/>
    <w:rsid w:val="0DB07237"/>
    <w:rsid w:val="0DDA6E4C"/>
    <w:rsid w:val="0DDB2F04"/>
    <w:rsid w:val="0DE8189C"/>
    <w:rsid w:val="0DF04D08"/>
    <w:rsid w:val="0E0A7B08"/>
    <w:rsid w:val="0E1D6F25"/>
    <w:rsid w:val="0E2D4D6B"/>
    <w:rsid w:val="0E3A64E1"/>
    <w:rsid w:val="0E474228"/>
    <w:rsid w:val="0E5B1ECF"/>
    <w:rsid w:val="0E676E60"/>
    <w:rsid w:val="0E835A3C"/>
    <w:rsid w:val="0E87669B"/>
    <w:rsid w:val="0E90617A"/>
    <w:rsid w:val="0EB345CD"/>
    <w:rsid w:val="0EB775D4"/>
    <w:rsid w:val="0EBD108E"/>
    <w:rsid w:val="0EBE49B5"/>
    <w:rsid w:val="0ECB7845"/>
    <w:rsid w:val="0ECE6DB6"/>
    <w:rsid w:val="0EDA4B25"/>
    <w:rsid w:val="0F010D14"/>
    <w:rsid w:val="0F075557"/>
    <w:rsid w:val="0F087656"/>
    <w:rsid w:val="0F2A6EAB"/>
    <w:rsid w:val="0F2B5CC9"/>
    <w:rsid w:val="0F322CD8"/>
    <w:rsid w:val="0F503911"/>
    <w:rsid w:val="0F736081"/>
    <w:rsid w:val="0F7554C5"/>
    <w:rsid w:val="0F9270C8"/>
    <w:rsid w:val="0FD70819"/>
    <w:rsid w:val="0FF463C8"/>
    <w:rsid w:val="0FF7330A"/>
    <w:rsid w:val="10030915"/>
    <w:rsid w:val="100E1475"/>
    <w:rsid w:val="100E70D2"/>
    <w:rsid w:val="103206C9"/>
    <w:rsid w:val="103233B6"/>
    <w:rsid w:val="10434C2E"/>
    <w:rsid w:val="104D3F68"/>
    <w:rsid w:val="10526C27"/>
    <w:rsid w:val="10564734"/>
    <w:rsid w:val="105E3DF5"/>
    <w:rsid w:val="10932B9D"/>
    <w:rsid w:val="10996374"/>
    <w:rsid w:val="10A860C7"/>
    <w:rsid w:val="10B2236A"/>
    <w:rsid w:val="10B452ED"/>
    <w:rsid w:val="10C87698"/>
    <w:rsid w:val="10CE7FF3"/>
    <w:rsid w:val="10DD5A17"/>
    <w:rsid w:val="10EE1DD4"/>
    <w:rsid w:val="10F368B4"/>
    <w:rsid w:val="10F76496"/>
    <w:rsid w:val="1100123A"/>
    <w:rsid w:val="11031204"/>
    <w:rsid w:val="110E3E23"/>
    <w:rsid w:val="1118572E"/>
    <w:rsid w:val="111D12DF"/>
    <w:rsid w:val="112E1BCA"/>
    <w:rsid w:val="11603A8E"/>
    <w:rsid w:val="11625F1D"/>
    <w:rsid w:val="11647302"/>
    <w:rsid w:val="117724E0"/>
    <w:rsid w:val="117D74A4"/>
    <w:rsid w:val="118867ED"/>
    <w:rsid w:val="118B5473"/>
    <w:rsid w:val="119105B0"/>
    <w:rsid w:val="11922830"/>
    <w:rsid w:val="11A35519"/>
    <w:rsid w:val="11A4659A"/>
    <w:rsid w:val="11C9697E"/>
    <w:rsid w:val="11D40F9C"/>
    <w:rsid w:val="11D53FAA"/>
    <w:rsid w:val="11DB1F27"/>
    <w:rsid w:val="11DE4B78"/>
    <w:rsid w:val="11E51B19"/>
    <w:rsid w:val="11E72845"/>
    <w:rsid w:val="11EA2727"/>
    <w:rsid w:val="11EC1288"/>
    <w:rsid w:val="11EC78E9"/>
    <w:rsid w:val="11F8418B"/>
    <w:rsid w:val="11FA2EA7"/>
    <w:rsid w:val="120248FD"/>
    <w:rsid w:val="1206198F"/>
    <w:rsid w:val="12095404"/>
    <w:rsid w:val="12232CE3"/>
    <w:rsid w:val="12442B30"/>
    <w:rsid w:val="12461407"/>
    <w:rsid w:val="124A611A"/>
    <w:rsid w:val="1253588B"/>
    <w:rsid w:val="1254440E"/>
    <w:rsid w:val="12631F4C"/>
    <w:rsid w:val="127E4256"/>
    <w:rsid w:val="12853CCA"/>
    <w:rsid w:val="128B14A3"/>
    <w:rsid w:val="128C3379"/>
    <w:rsid w:val="12902987"/>
    <w:rsid w:val="12983967"/>
    <w:rsid w:val="1299596E"/>
    <w:rsid w:val="129B1F76"/>
    <w:rsid w:val="12AF1988"/>
    <w:rsid w:val="12B86211"/>
    <w:rsid w:val="12C20391"/>
    <w:rsid w:val="12D502D9"/>
    <w:rsid w:val="12FE07EE"/>
    <w:rsid w:val="130D3C66"/>
    <w:rsid w:val="131B004A"/>
    <w:rsid w:val="13204D11"/>
    <w:rsid w:val="132455E7"/>
    <w:rsid w:val="133415AD"/>
    <w:rsid w:val="134619F9"/>
    <w:rsid w:val="136F5AAE"/>
    <w:rsid w:val="13796567"/>
    <w:rsid w:val="139F5E83"/>
    <w:rsid w:val="13B461C6"/>
    <w:rsid w:val="13C0325A"/>
    <w:rsid w:val="13C137B9"/>
    <w:rsid w:val="13C20133"/>
    <w:rsid w:val="13D33102"/>
    <w:rsid w:val="14067781"/>
    <w:rsid w:val="14101F43"/>
    <w:rsid w:val="14124EC1"/>
    <w:rsid w:val="14132242"/>
    <w:rsid w:val="141875A5"/>
    <w:rsid w:val="142009AC"/>
    <w:rsid w:val="142A6E3B"/>
    <w:rsid w:val="142E105E"/>
    <w:rsid w:val="14302302"/>
    <w:rsid w:val="143D057B"/>
    <w:rsid w:val="143F11FF"/>
    <w:rsid w:val="145A684A"/>
    <w:rsid w:val="149079F1"/>
    <w:rsid w:val="14990380"/>
    <w:rsid w:val="14C371FC"/>
    <w:rsid w:val="14CD5DA3"/>
    <w:rsid w:val="14D7277E"/>
    <w:rsid w:val="14DC5EFE"/>
    <w:rsid w:val="14DE3B0C"/>
    <w:rsid w:val="14EC6A00"/>
    <w:rsid w:val="15121A08"/>
    <w:rsid w:val="15146B05"/>
    <w:rsid w:val="15227E9D"/>
    <w:rsid w:val="155A3CD8"/>
    <w:rsid w:val="15657D89"/>
    <w:rsid w:val="15904434"/>
    <w:rsid w:val="159A2166"/>
    <w:rsid w:val="159A5769"/>
    <w:rsid w:val="159B7EEC"/>
    <w:rsid w:val="15B247C7"/>
    <w:rsid w:val="15C31E72"/>
    <w:rsid w:val="15E53E4D"/>
    <w:rsid w:val="15EC04AB"/>
    <w:rsid w:val="15EE4C18"/>
    <w:rsid w:val="161C3DE8"/>
    <w:rsid w:val="162A2DF0"/>
    <w:rsid w:val="16394085"/>
    <w:rsid w:val="16400CE1"/>
    <w:rsid w:val="16431EDE"/>
    <w:rsid w:val="165878EE"/>
    <w:rsid w:val="167F35D7"/>
    <w:rsid w:val="168E2E61"/>
    <w:rsid w:val="16911794"/>
    <w:rsid w:val="16933B2E"/>
    <w:rsid w:val="169603B8"/>
    <w:rsid w:val="16AA19FE"/>
    <w:rsid w:val="16AD4B16"/>
    <w:rsid w:val="16AF016F"/>
    <w:rsid w:val="16B34B25"/>
    <w:rsid w:val="16B5089D"/>
    <w:rsid w:val="16DA0E49"/>
    <w:rsid w:val="16E54FBF"/>
    <w:rsid w:val="16EA3DD2"/>
    <w:rsid w:val="16FC471D"/>
    <w:rsid w:val="1706734A"/>
    <w:rsid w:val="170700F2"/>
    <w:rsid w:val="17174A7B"/>
    <w:rsid w:val="173B1BF1"/>
    <w:rsid w:val="173D2D95"/>
    <w:rsid w:val="173F5F7E"/>
    <w:rsid w:val="17683B61"/>
    <w:rsid w:val="1777471D"/>
    <w:rsid w:val="177C519A"/>
    <w:rsid w:val="17814101"/>
    <w:rsid w:val="178C5AA1"/>
    <w:rsid w:val="17902A42"/>
    <w:rsid w:val="17A92A75"/>
    <w:rsid w:val="17B75A34"/>
    <w:rsid w:val="17C70BE1"/>
    <w:rsid w:val="17CF1E32"/>
    <w:rsid w:val="17D86F39"/>
    <w:rsid w:val="17D876D0"/>
    <w:rsid w:val="17DE3E23"/>
    <w:rsid w:val="17F673BF"/>
    <w:rsid w:val="1800023D"/>
    <w:rsid w:val="18023C73"/>
    <w:rsid w:val="18092D47"/>
    <w:rsid w:val="180F52FB"/>
    <w:rsid w:val="18147DE0"/>
    <w:rsid w:val="18243907"/>
    <w:rsid w:val="18261F02"/>
    <w:rsid w:val="18355AF4"/>
    <w:rsid w:val="184827CE"/>
    <w:rsid w:val="184A2211"/>
    <w:rsid w:val="184A7962"/>
    <w:rsid w:val="185365BF"/>
    <w:rsid w:val="18544252"/>
    <w:rsid w:val="18597A31"/>
    <w:rsid w:val="1868321B"/>
    <w:rsid w:val="187A68AA"/>
    <w:rsid w:val="18806A3A"/>
    <w:rsid w:val="188D6120"/>
    <w:rsid w:val="18904C3D"/>
    <w:rsid w:val="18B648C5"/>
    <w:rsid w:val="18BD01CD"/>
    <w:rsid w:val="18C60961"/>
    <w:rsid w:val="18D82D06"/>
    <w:rsid w:val="18E37D3B"/>
    <w:rsid w:val="19481E9C"/>
    <w:rsid w:val="194D42AB"/>
    <w:rsid w:val="19515114"/>
    <w:rsid w:val="19643385"/>
    <w:rsid w:val="19670204"/>
    <w:rsid w:val="19796823"/>
    <w:rsid w:val="19943A81"/>
    <w:rsid w:val="199933C0"/>
    <w:rsid w:val="19A754F2"/>
    <w:rsid w:val="19B40012"/>
    <w:rsid w:val="19C3114C"/>
    <w:rsid w:val="19C808E7"/>
    <w:rsid w:val="19CA465F"/>
    <w:rsid w:val="19CC6435"/>
    <w:rsid w:val="19D0045F"/>
    <w:rsid w:val="19D90D46"/>
    <w:rsid w:val="19DD31D1"/>
    <w:rsid w:val="19E96407"/>
    <w:rsid w:val="19F16090"/>
    <w:rsid w:val="19F65454"/>
    <w:rsid w:val="1A032E31"/>
    <w:rsid w:val="1A083FD5"/>
    <w:rsid w:val="1A2650DC"/>
    <w:rsid w:val="1A270FF5"/>
    <w:rsid w:val="1A2C3864"/>
    <w:rsid w:val="1A4155B8"/>
    <w:rsid w:val="1A561481"/>
    <w:rsid w:val="1A72009C"/>
    <w:rsid w:val="1A780C19"/>
    <w:rsid w:val="1A901380"/>
    <w:rsid w:val="1A981A65"/>
    <w:rsid w:val="1A9E717B"/>
    <w:rsid w:val="1AA95C8D"/>
    <w:rsid w:val="1AAE0374"/>
    <w:rsid w:val="1ABF1369"/>
    <w:rsid w:val="1ADB13B4"/>
    <w:rsid w:val="1AEE4A73"/>
    <w:rsid w:val="1B071E61"/>
    <w:rsid w:val="1B11196A"/>
    <w:rsid w:val="1B364C0D"/>
    <w:rsid w:val="1B38236B"/>
    <w:rsid w:val="1B481E48"/>
    <w:rsid w:val="1B4A1EFB"/>
    <w:rsid w:val="1B4C77DE"/>
    <w:rsid w:val="1B4F151F"/>
    <w:rsid w:val="1B633988"/>
    <w:rsid w:val="1B6877A5"/>
    <w:rsid w:val="1B7C407F"/>
    <w:rsid w:val="1B7F7AA2"/>
    <w:rsid w:val="1B8A53E6"/>
    <w:rsid w:val="1BA44707"/>
    <w:rsid w:val="1BAC6712"/>
    <w:rsid w:val="1BBE4C16"/>
    <w:rsid w:val="1BC36999"/>
    <w:rsid w:val="1BCD0F9D"/>
    <w:rsid w:val="1BCD4711"/>
    <w:rsid w:val="1BD27D70"/>
    <w:rsid w:val="1BD76AE0"/>
    <w:rsid w:val="1BD937FF"/>
    <w:rsid w:val="1BDF50B9"/>
    <w:rsid w:val="1BE814D0"/>
    <w:rsid w:val="1BEA51AE"/>
    <w:rsid w:val="1BF06BE9"/>
    <w:rsid w:val="1BF505F4"/>
    <w:rsid w:val="1C20425E"/>
    <w:rsid w:val="1C3D55BC"/>
    <w:rsid w:val="1C3D5D48"/>
    <w:rsid w:val="1C7F5F52"/>
    <w:rsid w:val="1C852F63"/>
    <w:rsid w:val="1C8A6D9B"/>
    <w:rsid w:val="1C9035F5"/>
    <w:rsid w:val="1C932A15"/>
    <w:rsid w:val="1CA707CE"/>
    <w:rsid w:val="1CAD456B"/>
    <w:rsid w:val="1CB4315D"/>
    <w:rsid w:val="1CC730D8"/>
    <w:rsid w:val="1CDD7B7E"/>
    <w:rsid w:val="1CE405F0"/>
    <w:rsid w:val="1CEF172E"/>
    <w:rsid w:val="1CFC11B0"/>
    <w:rsid w:val="1CFF34FA"/>
    <w:rsid w:val="1D08738F"/>
    <w:rsid w:val="1D145D72"/>
    <w:rsid w:val="1D161BB0"/>
    <w:rsid w:val="1D2507E2"/>
    <w:rsid w:val="1D2A08C6"/>
    <w:rsid w:val="1D586656"/>
    <w:rsid w:val="1D5C0C0C"/>
    <w:rsid w:val="1D6528B3"/>
    <w:rsid w:val="1D72490D"/>
    <w:rsid w:val="1D864D41"/>
    <w:rsid w:val="1D8D6AC5"/>
    <w:rsid w:val="1D98398C"/>
    <w:rsid w:val="1D9864C5"/>
    <w:rsid w:val="1DAF0BA1"/>
    <w:rsid w:val="1DB535B6"/>
    <w:rsid w:val="1DBB2FF8"/>
    <w:rsid w:val="1DC05EA4"/>
    <w:rsid w:val="1DC12243"/>
    <w:rsid w:val="1DCE5974"/>
    <w:rsid w:val="1DDB2CF7"/>
    <w:rsid w:val="1DEB3E3B"/>
    <w:rsid w:val="1DF4124D"/>
    <w:rsid w:val="1E003EA9"/>
    <w:rsid w:val="1E05210A"/>
    <w:rsid w:val="1E0C3EC8"/>
    <w:rsid w:val="1E0F0729"/>
    <w:rsid w:val="1E117875"/>
    <w:rsid w:val="1E2861C6"/>
    <w:rsid w:val="1E3D6419"/>
    <w:rsid w:val="1E4F7829"/>
    <w:rsid w:val="1E512CFF"/>
    <w:rsid w:val="1E631017"/>
    <w:rsid w:val="1E7263C7"/>
    <w:rsid w:val="1E733492"/>
    <w:rsid w:val="1E87304B"/>
    <w:rsid w:val="1EA9766E"/>
    <w:rsid w:val="1EB602F2"/>
    <w:rsid w:val="1ED408D3"/>
    <w:rsid w:val="1ED436CC"/>
    <w:rsid w:val="1ED7538C"/>
    <w:rsid w:val="1EE318FB"/>
    <w:rsid w:val="1EE667AA"/>
    <w:rsid w:val="1F0D5D9C"/>
    <w:rsid w:val="1F114ADE"/>
    <w:rsid w:val="1F264342"/>
    <w:rsid w:val="1F485E74"/>
    <w:rsid w:val="1F721A21"/>
    <w:rsid w:val="1F7615F5"/>
    <w:rsid w:val="1F8E01EC"/>
    <w:rsid w:val="1F925C1F"/>
    <w:rsid w:val="1FBA0A04"/>
    <w:rsid w:val="1FC44662"/>
    <w:rsid w:val="1FD027C3"/>
    <w:rsid w:val="1FD52356"/>
    <w:rsid w:val="1FD92C34"/>
    <w:rsid w:val="1FE65F41"/>
    <w:rsid w:val="1FF858D9"/>
    <w:rsid w:val="1FF86D59"/>
    <w:rsid w:val="20090638"/>
    <w:rsid w:val="200D0050"/>
    <w:rsid w:val="20245A2C"/>
    <w:rsid w:val="20266D6D"/>
    <w:rsid w:val="202B4198"/>
    <w:rsid w:val="202C7960"/>
    <w:rsid w:val="2031312B"/>
    <w:rsid w:val="203B5DAD"/>
    <w:rsid w:val="20455EDB"/>
    <w:rsid w:val="20481C31"/>
    <w:rsid w:val="20517888"/>
    <w:rsid w:val="206F2918"/>
    <w:rsid w:val="207007A7"/>
    <w:rsid w:val="207521C2"/>
    <w:rsid w:val="20757AB3"/>
    <w:rsid w:val="208D717E"/>
    <w:rsid w:val="2090526D"/>
    <w:rsid w:val="20C721BE"/>
    <w:rsid w:val="20CA00BF"/>
    <w:rsid w:val="20CD4B74"/>
    <w:rsid w:val="20DD14BC"/>
    <w:rsid w:val="20EC489B"/>
    <w:rsid w:val="20EE58A0"/>
    <w:rsid w:val="20F26C4D"/>
    <w:rsid w:val="20F6171F"/>
    <w:rsid w:val="20FD429E"/>
    <w:rsid w:val="21164885"/>
    <w:rsid w:val="21192030"/>
    <w:rsid w:val="2145097E"/>
    <w:rsid w:val="214A6C26"/>
    <w:rsid w:val="21516C43"/>
    <w:rsid w:val="21644B99"/>
    <w:rsid w:val="216B442D"/>
    <w:rsid w:val="21767008"/>
    <w:rsid w:val="217D21B0"/>
    <w:rsid w:val="21D0028E"/>
    <w:rsid w:val="21DA71DF"/>
    <w:rsid w:val="21E302C8"/>
    <w:rsid w:val="21E309B4"/>
    <w:rsid w:val="21EB1325"/>
    <w:rsid w:val="21FF3314"/>
    <w:rsid w:val="220304FE"/>
    <w:rsid w:val="220821C8"/>
    <w:rsid w:val="220B6EE1"/>
    <w:rsid w:val="220D50E8"/>
    <w:rsid w:val="223F0BC4"/>
    <w:rsid w:val="226879F8"/>
    <w:rsid w:val="226B136B"/>
    <w:rsid w:val="22743D02"/>
    <w:rsid w:val="2274785E"/>
    <w:rsid w:val="2290009C"/>
    <w:rsid w:val="229B0740"/>
    <w:rsid w:val="22B4352C"/>
    <w:rsid w:val="22BB278E"/>
    <w:rsid w:val="22C21320"/>
    <w:rsid w:val="22C47508"/>
    <w:rsid w:val="22D622C7"/>
    <w:rsid w:val="22EA1BED"/>
    <w:rsid w:val="22F44F9D"/>
    <w:rsid w:val="23146CB1"/>
    <w:rsid w:val="23407B78"/>
    <w:rsid w:val="236256F5"/>
    <w:rsid w:val="236D0008"/>
    <w:rsid w:val="23933AF0"/>
    <w:rsid w:val="239832CA"/>
    <w:rsid w:val="23D9206E"/>
    <w:rsid w:val="23DA7039"/>
    <w:rsid w:val="23F0051A"/>
    <w:rsid w:val="23F82563"/>
    <w:rsid w:val="23FF5BE9"/>
    <w:rsid w:val="2414613A"/>
    <w:rsid w:val="24180FBF"/>
    <w:rsid w:val="24303E47"/>
    <w:rsid w:val="24342A1F"/>
    <w:rsid w:val="24577551"/>
    <w:rsid w:val="246F4781"/>
    <w:rsid w:val="24704055"/>
    <w:rsid w:val="24760D93"/>
    <w:rsid w:val="247753E3"/>
    <w:rsid w:val="247922EF"/>
    <w:rsid w:val="248A3369"/>
    <w:rsid w:val="248F2C76"/>
    <w:rsid w:val="24980A56"/>
    <w:rsid w:val="249C4E4A"/>
    <w:rsid w:val="24A13D15"/>
    <w:rsid w:val="24AC7783"/>
    <w:rsid w:val="24C148B0"/>
    <w:rsid w:val="24C6485C"/>
    <w:rsid w:val="24D02955"/>
    <w:rsid w:val="24DE772A"/>
    <w:rsid w:val="24E4159D"/>
    <w:rsid w:val="24F45D7E"/>
    <w:rsid w:val="24F72380"/>
    <w:rsid w:val="252C61F5"/>
    <w:rsid w:val="252F796E"/>
    <w:rsid w:val="25322550"/>
    <w:rsid w:val="254213D4"/>
    <w:rsid w:val="25532232"/>
    <w:rsid w:val="25621C77"/>
    <w:rsid w:val="2574602D"/>
    <w:rsid w:val="2593624D"/>
    <w:rsid w:val="25BC39F6"/>
    <w:rsid w:val="25CD75F2"/>
    <w:rsid w:val="25D1289C"/>
    <w:rsid w:val="25D6660B"/>
    <w:rsid w:val="25E1432C"/>
    <w:rsid w:val="25F26798"/>
    <w:rsid w:val="25F9258E"/>
    <w:rsid w:val="25FA617D"/>
    <w:rsid w:val="25FC2044"/>
    <w:rsid w:val="25FE117E"/>
    <w:rsid w:val="25FF7C26"/>
    <w:rsid w:val="261B53F1"/>
    <w:rsid w:val="262A678D"/>
    <w:rsid w:val="26446797"/>
    <w:rsid w:val="264D2869"/>
    <w:rsid w:val="265077B8"/>
    <w:rsid w:val="267C536F"/>
    <w:rsid w:val="2681308B"/>
    <w:rsid w:val="26A07B47"/>
    <w:rsid w:val="26A10E3D"/>
    <w:rsid w:val="26B72F51"/>
    <w:rsid w:val="26B81E0D"/>
    <w:rsid w:val="26C347DA"/>
    <w:rsid w:val="26D42FC1"/>
    <w:rsid w:val="26DB60FD"/>
    <w:rsid w:val="26DE51D9"/>
    <w:rsid w:val="26EB3684"/>
    <w:rsid w:val="270A263C"/>
    <w:rsid w:val="270B2FC4"/>
    <w:rsid w:val="270B6213"/>
    <w:rsid w:val="27290702"/>
    <w:rsid w:val="2729137B"/>
    <w:rsid w:val="273F7019"/>
    <w:rsid w:val="27547BB8"/>
    <w:rsid w:val="27702CEA"/>
    <w:rsid w:val="277522D8"/>
    <w:rsid w:val="27752ADD"/>
    <w:rsid w:val="278375A9"/>
    <w:rsid w:val="279544FE"/>
    <w:rsid w:val="27AD6297"/>
    <w:rsid w:val="27AF223E"/>
    <w:rsid w:val="27B745F6"/>
    <w:rsid w:val="27BE54A0"/>
    <w:rsid w:val="27D60BBE"/>
    <w:rsid w:val="27E014F2"/>
    <w:rsid w:val="27E546F0"/>
    <w:rsid w:val="27FB785A"/>
    <w:rsid w:val="27FE5DBD"/>
    <w:rsid w:val="27FF2A76"/>
    <w:rsid w:val="283331C2"/>
    <w:rsid w:val="283539F4"/>
    <w:rsid w:val="284756F2"/>
    <w:rsid w:val="284B2E0F"/>
    <w:rsid w:val="285C4EDA"/>
    <w:rsid w:val="28AD312D"/>
    <w:rsid w:val="28B219FF"/>
    <w:rsid w:val="28C4204D"/>
    <w:rsid w:val="28CA63F7"/>
    <w:rsid w:val="28D252DE"/>
    <w:rsid w:val="28D94549"/>
    <w:rsid w:val="28DC506F"/>
    <w:rsid w:val="291E7DEE"/>
    <w:rsid w:val="2923532B"/>
    <w:rsid w:val="292611DE"/>
    <w:rsid w:val="292F2731"/>
    <w:rsid w:val="29455AB0"/>
    <w:rsid w:val="296337BF"/>
    <w:rsid w:val="29890093"/>
    <w:rsid w:val="298E720A"/>
    <w:rsid w:val="299211CB"/>
    <w:rsid w:val="29AD3F98"/>
    <w:rsid w:val="29C70DC3"/>
    <w:rsid w:val="29D32872"/>
    <w:rsid w:val="29E5059A"/>
    <w:rsid w:val="2A192DE1"/>
    <w:rsid w:val="2A4C1FA2"/>
    <w:rsid w:val="2A511725"/>
    <w:rsid w:val="2A580C3E"/>
    <w:rsid w:val="2A6428AE"/>
    <w:rsid w:val="2A72151C"/>
    <w:rsid w:val="2A913735"/>
    <w:rsid w:val="2A987C63"/>
    <w:rsid w:val="2A9C173C"/>
    <w:rsid w:val="2AA86F56"/>
    <w:rsid w:val="2AB46672"/>
    <w:rsid w:val="2AB93F13"/>
    <w:rsid w:val="2ABC11D4"/>
    <w:rsid w:val="2AC46EA9"/>
    <w:rsid w:val="2AC94FEF"/>
    <w:rsid w:val="2B053833"/>
    <w:rsid w:val="2B082CD2"/>
    <w:rsid w:val="2B084FE9"/>
    <w:rsid w:val="2B28055B"/>
    <w:rsid w:val="2B2B56DD"/>
    <w:rsid w:val="2BA50561"/>
    <w:rsid w:val="2BC5737C"/>
    <w:rsid w:val="2BC91C07"/>
    <w:rsid w:val="2BCD5FDE"/>
    <w:rsid w:val="2BCF3468"/>
    <w:rsid w:val="2BE20724"/>
    <w:rsid w:val="2BEA550D"/>
    <w:rsid w:val="2BF565C9"/>
    <w:rsid w:val="2C1125C1"/>
    <w:rsid w:val="2C2E72DF"/>
    <w:rsid w:val="2C3D73D3"/>
    <w:rsid w:val="2C412EA7"/>
    <w:rsid w:val="2C5C383D"/>
    <w:rsid w:val="2C674184"/>
    <w:rsid w:val="2C790595"/>
    <w:rsid w:val="2C832DE9"/>
    <w:rsid w:val="2C8548E2"/>
    <w:rsid w:val="2C8A0DA8"/>
    <w:rsid w:val="2C9D74FB"/>
    <w:rsid w:val="2CAD2886"/>
    <w:rsid w:val="2CAD5FF5"/>
    <w:rsid w:val="2CAF4ED3"/>
    <w:rsid w:val="2CB04E6E"/>
    <w:rsid w:val="2CB11E8D"/>
    <w:rsid w:val="2CB712E6"/>
    <w:rsid w:val="2CF23ED7"/>
    <w:rsid w:val="2D0218C9"/>
    <w:rsid w:val="2D025FE0"/>
    <w:rsid w:val="2D0666DA"/>
    <w:rsid w:val="2D141396"/>
    <w:rsid w:val="2D172F75"/>
    <w:rsid w:val="2D202ABC"/>
    <w:rsid w:val="2D2A4456"/>
    <w:rsid w:val="2D311D7A"/>
    <w:rsid w:val="2D355895"/>
    <w:rsid w:val="2D3713CA"/>
    <w:rsid w:val="2D3B22D0"/>
    <w:rsid w:val="2D417C33"/>
    <w:rsid w:val="2D6214ED"/>
    <w:rsid w:val="2D7055F0"/>
    <w:rsid w:val="2D751F45"/>
    <w:rsid w:val="2D7A356A"/>
    <w:rsid w:val="2D83304B"/>
    <w:rsid w:val="2DA400B7"/>
    <w:rsid w:val="2DD85145"/>
    <w:rsid w:val="2DFB39AC"/>
    <w:rsid w:val="2E231D13"/>
    <w:rsid w:val="2E251FAB"/>
    <w:rsid w:val="2E2C366A"/>
    <w:rsid w:val="2E3A1FCC"/>
    <w:rsid w:val="2E4D79A5"/>
    <w:rsid w:val="2E4F0077"/>
    <w:rsid w:val="2E5976FC"/>
    <w:rsid w:val="2E5B7B24"/>
    <w:rsid w:val="2E640F09"/>
    <w:rsid w:val="2E6F0D35"/>
    <w:rsid w:val="2E70537D"/>
    <w:rsid w:val="2E711DA5"/>
    <w:rsid w:val="2E876537"/>
    <w:rsid w:val="2E895C48"/>
    <w:rsid w:val="2E942B39"/>
    <w:rsid w:val="2E9C349E"/>
    <w:rsid w:val="2E9D0E2F"/>
    <w:rsid w:val="2E9D649B"/>
    <w:rsid w:val="2EAD1226"/>
    <w:rsid w:val="2EB94B86"/>
    <w:rsid w:val="2EC87A98"/>
    <w:rsid w:val="2ECD3BE2"/>
    <w:rsid w:val="2EDB30C0"/>
    <w:rsid w:val="2EEB20BB"/>
    <w:rsid w:val="2EED5678"/>
    <w:rsid w:val="2F2B0D5D"/>
    <w:rsid w:val="2F366598"/>
    <w:rsid w:val="2F4744E2"/>
    <w:rsid w:val="2F4776A3"/>
    <w:rsid w:val="2F5660DE"/>
    <w:rsid w:val="2F6613BD"/>
    <w:rsid w:val="2F8224CD"/>
    <w:rsid w:val="2F9043DA"/>
    <w:rsid w:val="2F923A19"/>
    <w:rsid w:val="2F937731"/>
    <w:rsid w:val="2F9E2AB1"/>
    <w:rsid w:val="2FB46124"/>
    <w:rsid w:val="2FB70940"/>
    <w:rsid w:val="2FBD1744"/>
    <w:rsid w:val="2FD32E2E"/>
    <w:rsid w:val="2FE2257E"/>
    <w:rsid w:val="2FF52980"/>
    <w:rsid w:val="3003197C"/>
    <w:rsid w:val="30116BCA"/>
    <w:rsid w:val="3038014E"/>
    <w:rsid w:val="303A20E7"/>
    <w:rsid w:val="303B66D2"/>
    <w:rsid w:val="30470A56"/>
    <w:rsid w:val="304F7760"/>
    <w:rsid w:val="30551A49"/>
    <w:rsid w:val="305D07A0"/>
    <w:rsid w:val="30775D7F"/>
    <w:rsid w:val="308B7882"/>
    <w:rsid w:val="309545DC"/>
    <w:rsid w:val="3097098C"/>
    <w:rsid w:val="309F42FF"/>
    <w:rsid w:val="30A229EE"/>
    <w:rsid w:val="30AB15A6"/>
    <w:rsid w:val="30B70524"/>
    <w:rsid w:val="30C461DE"/>
    <w:rsid w:val="30CA276B"/>
    <w:rsid w:val="30E33A5D"/>
    <w:rsid w:val="30E650E1"/>
    <w:rsid w:val="312D6259"/>
    <w:rsid w:val="313F7731"/>
    <w:rsid w:val="31512170"/>
    <w:rsid w:val="31547F3B"/>
    <w:rsid w:val="31575806"/>
    <w:rsid w:val="31597C59"/>
    <w:rsid w:val="316557F1"/>
    <w:rsid w:val="317909ED"/>
    <w:rsid w:val="318850D4"/>
    <w:rsid w:val="31A0526C"/>
    <w:rsid w:val="31A87524"/>
    <w:rsid w:val="31AF58EF"/>
    <w:rsid w:val="31B41859"/>
    <w:rsid w:val="31C94FFF"/>
    <w:rsid w:val="31D12706"/>
    <w:rsid w:val="320C4FFA"/>
    <w:rsid w:val="320E606C"/>
    <w:rsid w:val="321E4489"/>
    <w:rsid w:val="3223677D"/>
    <w:rsid w:val="32252A2E"/>
    <w:rsid w:val="322C1F03"/>
    <w:rsid w:val="32340F37"/>
    <w:rsid w:val="32354DEF"/>
    <w:rsid w:val="3241091D"/>
    <w:rsid w:val="324A2389"/>
    <w:rsid w:val="32562ADC"/>
    <w:rsid w:val="3281224F"/>
    <w:rsid w:val="32870EE7"/>
    <w:rsid w:val="32935ADE"/>
    <w:rsid w:val="32A34FCE"/>
    <w:rsid w:val="32A81E34"/>
    <w:rsid w:val="32B80A0A"/>
    <w:rsid w:val="32BD13F9"/>
    <w:rsid w:val="32D41663"/>
    <w:rsid w:val="32D51932"/>
    <w:rsid w:val="32E6473D"/>
    <w:rsid w:val="32ED2668"/>
    <w:rsid w:val="33180043"/>
    <w:rsid w:val="331F6A63"/>
    <w:rsid w:val="33271660"/>
    <w:rsid w:val="3327427B"/>
    <w:rsid w:val="332B2653"/>
    <w:rsid w:val="332C7B8A"/>
    <w:rsid w:val="33377DB3"/>
    <w:rsid w:val="33386801"/>
    <w:rsid w:val="333F17C2"/>
    <w:rsid w:val="33435DA8"/>
    <w:rsid w:val="335119E1"/>
    <w:rsid w:val="33583C36"/>
    <w:rsid w:val="336C4907"/>
    <w:rsid w:val="338E30BB"/>
    <w:rsid w:val="33980E63"/>
    <w:rsid w:val="33A1542F"/>
    <w:rsid w:val="33A2362B"/>
    <w:rsid w:val="33A66BD6"/>
    <w:rsid w:val="33B25A60"/>
    <w:rsid w:val="33BF2DF3"/>
    <w:rsid w:val="33C00B55"/>
    <w:rsid w:val="33C86A8C"/>
    <w:rsid w:val="33E266A6"/>
    <w:rsid w:val="33E267F1"/>
    <w:rsid w:val="33F40FA5"/>
    <w:rsid w:val="33FF263A"/>
    <w:rsid w:val="34000F51"/>
    <w:rsid w:val="340E52A5"/>
    <w:rsid w:val="342624CD"/>
    <w:rsid w:val="344C23E9"/>
    <w:rsid w:val="344C70DB"/>
    <w:rsid w:val="34543290"/>
    <w:rsid w:val="345E036E"/>
    <w:rsid w:val="3493071B"/>
    <w:rsid w:val="349863F3"/>
    <w:rsid w:val="349D49F2"/>
    <w:rsid w:val="34A615CF"/>
    <w:rsid w:val="34A72F72"/>
    <w:rsid w:val="34BF7464"/>
    <w:rsid w:val="34C11803"/>
    <w:rsid w:val="34C5003D"/>
    <w:rsid w:val="34C80CB0"/>
    <w:rsid w:val="34CB5EB1"/>
    <w:rsid w:val="35311EBE"/>
    <w:rsid w:val="35343FE0"/>
    <w:rsid w:val="353C420B"/>
    <w:rsid w:val="355E0625"/>
    <w:rsid w:val="356F70BC"/>
    <w:rsid w:val="35737A6C"/>
    <w:rsid w:val="357C3DEF"/>
    <w:rsid w:val="35AA0921"/>
    <w:rsid w:val="35BC17F0"/>
    <w:rsid w:val="35CA2ECF"/>
    <w:rsid w:val="35DB3C04"/>
    <w:rsid w:val="35F34484"/>
    <w:rsid w:val="35FA5E74"/>
    <w:rsid w:val="36592906"/>
    <w:rsid w:val="36636D8B"/>
    <w:rsid w:val="367B20FA"/>
    <w:rsid w:val="36906799"/>
    <w:rsid w:val="36B10C29"/>
    <w:rsid w:val="36B51C9B"/>
    <w:rsid w:val="36C705DA"/>
    <w:rsid w:val="36D958A6"/>
    <w:rsid w:val="36DE160A"/>
    <w:rsid w:val="36E611F4"/>
    <w:rsid w:val="36EA5F1F"/>
    <w:rsid w:val="36FF0E9B"/>
    <w:rsid w:val="370451FC"/>
    <w:rsid w:val="372D3424"/>
    <w:rsid w:val="375F68D7"/>
    <w:rsid w:val="37621783"/>
    <w:rsid w:val="37841342"/>
    <w:rsid w:val="378F07A3"/>
    <w:rsid w:val="37B12429"/>
    <w:rsid w:val="37E13F8B"/>
    <w:rsid w:val="37E44F30"/>
    <w:rsid w:val="37EC4DF7"/>
    <w:rsid w:val="37FB2553"/>
    <w:rsid w:val="38222635"/>
    <w:rsid w:val="38324FA7"/>
    <w:rsid w:val="383D6DCE"/>
    <w:rsid w:val="38421981"/>
    <w:rsid w:val="38483462"/>
    <w:rsid w:val="38614620"/>
    <w:rsid w:val="386C0CC6"/>
    <w:rsid w:val="38760412"/>
    <w:rsid w:val="387E0FDF"/>
    <w:rsid w:val="38826516"/>
    <w:rsid w:val="38C32604"/>
    <w:rsid w:val="38CA3D5D"/>
    <w:rsid w:val="38CA7DAA"/>
    <w:rsid w:val="38DF2092"/>
    <w:rsid w:val="38E93B60"/>
    <w:rsid w:val="38EE7F12"/>
    <w:rsid w:val="390D6AAA"/>
    <w:rsid w:val="390E717B"/>
    <w:rsid w:val="391F489A"/>
    <w:rsid w:val="39395560"/>
    <w:rsid w:val="393E4F50"/>
    <w:rsid w:val="394418E0"/>
    <w:rsid w:val="39446DFE"/>
    <w:rsid w:val="394C1C6C"/>
    <w:rsid w:val="395A48EF"/>
    <w:rsid w:val="395B6E5F"/>
    <w:rsid w:val="3961669F"/>
    <w:rsid w:val="39673821"/>
    <w:rsid w:val="39854694"/>
    <w:rsid w:val="39973B20"/>
    <w:rsid w:val="399D0714"/>
    <w:rsid w:val="399D5CA1"/>
    <w:rsid w:val="39B2154D"/>
    <w:rsid w:val="39B63996"/>
    <w:rsid w:val="39D23390"/>
    <w:rsid w:val="39D24D73"/>
    <w:rsid w:val="39D6686D"/>
    <w:rsid w:val="39F87455"/>
    <w:rsid w:val="3A041723"/>
    <w:rsid w:val="3A136DD5"/>
    <w:rsid w:val="3A137796"/>
    <w:rsid w:val="3A1732BE"/>
    <w:rsid w:val="3A190302"/>
    <w:rsid w:val="3A2D4A6A"/>
    <w:rsid w:val="3A306308"/>
    <w:rsid w:val="3A410CED"/>
    <w:rsid w:val="3A514F2C"/>
    <w:rsid w:val="3A6200EB"/>
    <w:rsid w:val="3A7B48FF"/>
    <w:rsid w:val="3A80103E"/>
    <w:rsid w:val="3A82468E"/>
    <w:rsid w:val="3A9C3E17"/>
    <w:rsid w:val="3AA662D8"/>
    <w:rsid w:val="3AB42A96"/>
    <w:rsid w:val="3AB80BCC"/>
    <w:rsid w:val="3ABA4120"/>
    <w:rsid w:val="3AC74F70"/>
    <w:rsid w:val="3AD144F8"/>
    <w:rsid w:val="3AD7578F"/>
    <w:rsid w:val="3ADC6851"/>
    <w:rsid w:val="3ADE166C"/>
    <w:rsid w:val="3AE437F8"/>
    <w:rsid w:val="3AED631B"/>
    <w:rsid w:val="3B1154B4"/>
    <w:rsid w:val="3B201ED9"/>
    <w:rsid w:val="3B312824"/>
    <w:rsid w:val="3B46359A"/>
    <w:rsid w:val="3B4F2A3C"/>
    <w:rsid w:val="3B517011"/>
    <w:rsid w:val="3B5F7C94"/>
    <w:rsid w:val="3B6263D4"/>
    <w:rsid w:val="3B6A5F38"/>
    <w:rsid w:val="3B6D7003"/>
    <w:rsid w:val="3B761A65"/>
    <w:rsid w:val="3B830ED3"/>
    <w:rsid w:val="3B860D86"/>
    <w:rsid w:val="3B940026"/>
    <w:rsid w:val="3B9500CD"/>
    <w:rsid w:val="3B971D5E"/>
    <w:rsid w:val="3BA0349A"/>
    <w:rsid w:val="3BB6283D"/>
    <w:rsid w:val="3BCF7C57"/>
    <w:rsid w:val="3BDA637F"/>
    <w:rsid w:val="3BE90255"/>
    <w:rsid w:val="3BEC1820"/>
    <w:rsid w:val="3BF02C2F"/>
    <w:rsid w:val="3BFD627A"/>
    <w:rsid w:val="3C0E2679"/>
    <w:rsid w:val="3C215F09"/>
    <w:rsid w:val="3C280DEB"/>
    <w:rsid w:val="3C2F4ACA"/>
    <w:rsid w:val="3C3F6B8C"/>
    <w:rsid w:val="3C7A49C5"/>
    <w:rsid w:val="3C901A19"/>
    <w:rsid w:val="3CA55DF4"/>
    <w:rsid w:val="3CAF5BBB"/>
    <w:rsid w:val="3CB80971"/>
    <w:rsid w:val="3CC26A3C"/>
    <w:rsid w:val="3CD72A6B"/>
    <w:rsid w:val="3CDD7AFF"/>
    <w:rsid w:val="3CE57018"/>
    <w:rsid w:val="3CF834F6"/>
    <w:rsid w:val="3CF87D55"/>
    <w:rsid w:val="3D115F7D"/>
    <w:rsid w:val="3D16362A"/>
    <w:rsid w:val="3D1F482A"/>
    <w:rsid w:val="3D255ECD"/>
    <w:rsid w:val="3D314D3C"/>
    <w:rsid w:val="3D365A65"/>
    <w:rsid w:val="3D3A5A2F"/>
    <w:rsid w:val="3D3B23F7"/>
    <w:rsid w:val="3D3C61A1"/>
    <w:rsid w:val="3D3E3432"/>
    <w:rsid w:val="3D3F2D23"/>
    <w:rsid w:val="3D4B763C"/>
    <w:rsid w:val="3D8D33DB"/>
    <w:rsid w:val="3D905299"/>
    <w:rsid w:val="3DD1395F"/>
    <w:rsid w:val="3DD64444"/>
    <w:rsid w:val="3DE45A52"/>
    <w:rsid w:val="3DF12C33"/>
    <w:rsid w:val="3DFA359E"/>
    <w:rsid w:val="3DFD29A6"/>
    <w:rsid w:val="3E0E4F50"/>
    <w:rsid w:val="3E0F4B51"/>
    <w:rsid w:val="3E2270F9"/>
    <w:rsid w:val="3E23219E"/>
    <w:rsid w:val="3E2375E0"/>
    <w:rsid w:val="3E345514"/>
    <w:rsid w:val="3E3F2FBE"/>
    <w:rsid w:val="3E4D4ECA"/>
    <w:rsid w:val="3E502AD5"/>
    <w:rsid w:val="3E6B0403"/>
    <w:rsid w:val="3E860BED"/>
    <w:rsid w:val="3E864FD5"/>
    <w:rsid w:val="3E8C653B"/>
    <w:rsid w:val="3E961EF8"/>
    <w:rsid w:val="3E9B17C6"/>
    <w:rsid w:val="3E9B7771"/>
    <w:rsid w:val="3E9E2A26"/>
    <w:rsid w:val="3E9E4417"/>
    <w:rsid w:val="3EC64F62"/>
    <w:rsid w:val="3ECF421A"/>
    <w:rsid w:val="3ED649B0"/>
    <w:rsid w:val="3EDB238D"/>
    <w:rsid w:val="3F1E306F"/>
    <w:rsid w:val="3F22729B"/>
    <w:rsid w:val="3F3D1DB1"/>
    <w:rsid w:val="3F4930E5"/>
    <w:rsid w:val="3F4D5267"/>
    <w:rsid w:val="3F663B2D"/>
    <w:rsid w:val="3F6D31EF"/>
    <w:rsid w:val="3F747A46"/>
    <w:rsid w:val="3F7D3D9E"/>
    <w:rsid w:val="3F842A00"/>
    <w:rsid w:val="3F8447D7"/>
    <w:rsid w:val="3FDB0AF6"/>
    <w:rsid w:val="3FEB2AD1"/>
    <w:rsid w:val="3FF742B5"/>
    <w:rsid w:val="400534BF"/>
    <w:rsid w:val="40061FE5"/>
    <w:rsid w:val="401758B2"/>
    <w:rsid w:val="40242E88"/>
    <w:rsid w:val="40366417"/>
    <w:rsid w:val="403668D3"/>
    <w:rsid w:val="404836BE"/>
    <w:rsid w:val="40496DE7"/>
    <w:rsid w:val="404F21DB"/>
    <w:rsid w:val="405E5D8B"/>
    <w:rsid w:val="40761272"/>
    <w:rsid w:val="408C6DBF"/>
    <w:rsid w:val="40907B01"/>
    <w:rsid w:val="40AF2CC0"/>
    <w:rsid w:val="40B71409"/>
    <w:rsid w:val="40B759E3"/>
    <w:rsid w:val="40E1760B"/>
    <w:rsid w:val="40F11A75"/>
    <w:rsid w:val="411359BF"/>
    <w:rsid w:val="411A132E"/>
    <w:rsid w:val="411A5E54"/>
    <w:rsid w:val="41245FF9"/>
    <w:rsid w:val="41257903"/>
    <w:rsid w:val="41265B48"/>
    <w:rsid w:val="41412BA9"/>
    <w:rsid w:val="414803DC"/>
    <w:rsid w:val="415007D2"/>
    <w:rsid w:val="41646816"/>
    <w:rsid w:val="416F28A3"/>
    <w:rsid w:val="41774E52"/>
    <w:rsid w:val="41783F5E"/>
    <w:rsid w:val="419C6CD1"/>
    <w:rsid w:val="419E3F24"/>
    <w:rsid w:val="41AF0194"/>
    <w:rsid w:val="41B01478"/>
    <w:rsid w:val="41B3247B"/>
    <w:rsid w:val="41B975E1"/>
    <w:rsid w:val="41D21460"/>
    <w:rsid w:val="41D659E7"/>
    <w:rsid w:val="41F72F29"/>
    <w:rsid w:val="41F81D9C"/>
    <w:rsid w:val="41F932B5"/>
    <w:rsid w:val="41FE7D09"/>
    <w:rsid w:val="42066185"/>
    <w:rsid w:val="422528B2"/>
    <w:rsid w:val="42447DE2"/>
    <w:rsid w:val="424A0FC9"/>
    <w:rsid w:val="424F7292"/>
    <w:rsid w:val="425B4C51"/>
    <w:rsid w:val="425E7C97"/>
    <w:rsid w:val="42694E9A"/>
    <w:rsid w:val="426E750F"/>
    <w:rsid w:val="42707BEA"/>
    <w:rsid w:val="427D5D0E"/>
    <w:rsid w:val="427D76F0"/>
    <w:rsid w:val="42862F6A"/>
    <w:rsid w:val="428A39EA"/>
    <w:rsid w:val="42C96AAF"/>
    <w:rsid w:val="42D04BC7"/>
    <w:rsid w:val="42ED123B"/>
    <w:rsid w:val="42FF35EC"/>
    <w:rsid w:val="43026EAA"/>
    <w:rsid w:val="431B1292"/>
    <w:rsid w:val="432A3B42"/>
    <w:rsid w:val="432B1C88"/>
    <w:rsid w:val="432D6BCF"/>
    <w:rsid w:val="432F5D46"/>
    <w:rsid w:val="434F5A51"/>
    <w:rsid w:val="43523060"/>
    <w:rsid w:val="4352732D"/>
    <w:rsid w:val="435818FE"/>
    <w:rsid w:val="435B25C4"/>
    <w:rsid w:val="43601A0D"/>
    <w:rsid w:val="436314FD"/>
    <w:rsid w:val="43642D54"/>
    <w:rsid w:val="436A5B8A"/>
    <w:rsid w:val="43704809"/>
    <w:rsid w:val="43843277"/>
    <w:rsid w:val="43914A44"/>
    <w:rsid w:val="43943464"/>
    <w:rsid w:val="439F183C"/>
    <w:rsid w:val="43B835F7"/>
    <w:rsid w:val="43BB4BF7"/>
    <w:rsid w:val="43C6626A"/>
    <w:rsid w:val="43DF7309"/>
    <w:rsid w:val="43FA425E"/>
    <w:rsid w:val="4408628C"/>
    <w:rsid w:val="440E2391"/>
    <w:rsid w:val="441B3B85"/>
    <w:rsid w:val="442714EC"/>
    <w:rsid w:val="44344B63"/>
    <w:rsid w:val="444A7FC7"/>
    <w:rsid w:val="4456557C"/>
    <w:rsid w:val="445B12C8"/>
    <w:rsid w:val="445D7BB5"/>
    <w:rsid w:val="44711A16"/>
    <w:rsid w:val="4484797D"/>
    <w:rsid w:val="44892F6A"/>
    <w:rsid w:val="448A5AF0"/>
    <w:rsid w:val="4491045A"/>
    <w:rsid w:val="44AC78DA"/>
    <w:rsid w:val="44B45913"/>
    <w:rsid w:val="44C069B9"/>
    <w:rsid w:val="44C97480"/>
    <w:rsid w:val="44CA7B2A"/>
    <w:rsid w:val="44D97CDC"/>
    <w:rsid w:val="44EF3AA7"/>
    <w:rsid w:val="44FB4841"/>
    <w:rsid w:val="45071A75"/>
    <w:rsid w:val="45074193"/>
    <w:rsid w:val="451A5BEB"/>
    <w:rsid w:val="452C3BFA"/>
    <w:rsid w:val="453E18DA"/>
    <w:rsid w:val="453F313B"/>
    <w:rsid w:val="45574B82"/>
    <w:rsid w:val="455E0CC1"/>
    <w:rsid w:val="456414E0"/>
    <w:rsid w:val="4564610A"/>
    <w:rsid w:val="459A51A6"/>
    <w:rsid w:val="459B050E"/>
    <w:rsid w:val="459D6FC6"/>
    <w:rsid w:val="45AB754C"/>
    <w:rsid w:val="45BB1F57"/>
    <w:rsid w:val="45CC7444"/>
    <w:rsid w:val="45DA719F"/>
    <w:rsid w:val="45E561F9"/>
    <w:rsid w:val="45F73288"/>
    <w:rsid w:val="45FA7C66"/>
    <w:rsid w:val="4609643A"/>
    <w:rsid w:val="46171626"/>
    <w:rsid w:val="4622567F"/>
    <w:rsid w:val="46394304"/>
    <w:rsid w:val="464B6A81"/>
    <w:rsid w:val="465E7A23"/>
    <w:rsid w:val="469570A6"/>
    <w:rsid w:val="46990AA6"/>
    <w:rsid w:val="46A460B4"/>
    <w:rsid w:val="46B36793"/>
    <w:rsid w:val="46B856BC"/>
    <w:rsid w:val="46BC33FE"/>
    <w:rsid w:val="46CA32A2"/>
    <w:rsid w:val="46D26950"/>
    <w:rsid w:val="46D31A88"/>
    <w:rsid w:val="46E85E99"/>
    <w:rsid w:val="46F202AB"/>
    <w:rsid w:val="46FB2EB7"/>
    <w:rsid w:val="470678D1"/>
    <w:rsid w:val="470862C3"/>
    <w:rsid w:val="47091B05"/>
    <w:rsid w:val="47157E9C"/>
    <w:rsid w:val="47356D0C"/>
    <w:rsid w:val="474B477B"/>
    <w:rsid w:val="47615D53"/>
    <w:rsid w:val="47680E90"/>
    <w:rsid w:val="476E50DC"/>
    <w:rsid w:val="47706EF7"/>
    <w:rsid w:val="478C46EA"/>
    <w:rsid w:val="47945D83"/>
    <w:rsid w:val="47A92B2C"/>
    <w:rsid w:val="47D21296"/>
    <w:rsid w:val="47D40EE6"/>
    <w:rsid w:val="47EB7F10"/>
    <w:rsid w:val="482326D9"/>
    <w:rsid w:val="483015FF"/>
    <w:rsid w:val="483E1767"/>
    <w:rsid w:val="48547666"/>
    <w:rsid w:val="48600A1C"/>
    <w:rsid w:val="48663923"/>
    <w:rsid w:val="489F2FD7"/>
    <w:rsid w:val="48A740FF"/>
    <w:rsid w:val="48BF7BF9"/>
    <w:rsid w:val="48C737EA"/>
    <w:rsid w:val="48D13E2F"/>
    <w:rsid w:val="48EB193D"/>
    <w:rsid w:val="48F775F0"/>
    <w:rsid w:val="48FC153E"/>
    <w:rsid w:val="48FC32C4"/>
    <w:rsid w:val="49080B7C"/>
    <w:rsid w:val="490A16BD"/>
    <w:rsid w:val="490C2058"/>
    <w:rsid w:val="49107A31"/>
    <w:rsid w:val="49174DA6"/>
    <w:rsid w:val="49177011"/>
    <w:rsid w:val="491E74DD"/>
    <w:rsid w:val="493F7891"/>
    <w:rsid w:val="49410C77"/>
    <w:rsid w:val="4944173E"/>
    <w:rsid w:val="498D3B33"/>
    <w:rsid w:val="49C47892"/>
    <w:rsid w:val="49C6363E"/>
    <w:rsid w:val="49ED189C"/>
    <w:rsid w:val="4A031ECA"/>
    <w:rsid w:val="4A074EAB"/>
    <w:rsid w:val="4A0B2ED5"/>
    <w:rsid w:val="4A1A069D"/>
    <w:rsid w:val="4A296295"/>
    <w:rsid w:val="4A297952"/>
    <w:rsid w:val="4A4C4A99"/>
    <w:rsid w:val="4A4F040F"/>
    <w:rsid w:val="4A5C0A73"/>
    <w:rsid w:val="4A907352"/>
    <w:rsid w:val="4AB80500"/>
    <w:rsid w:val="4AEF3676"/>
    <w:rsid w:val="4AFF2B24"/>
    <w:rsid w:val="4B012121"/>
    <w:rsid w:val="4B0D4A7E"/>
    <w:rsid w:val="4B1E2876"/>
    <w:rsid w:val="4B24506E"/>
    <w:rsid w:val="4B2B0B52"/>
    <w:rsid w:val="4B327E20"/>
    <w:rsid w:val="4B376591"/>
    <w:rsid w:val="4B39343F"/>
    <w:rsid w:val="4B4F32E5"/>
    <w:rsid w:val="4B535C94"/>
    <w:rsid w:val="4B6B59D2"/>
    <w:rsid w:val="4B6E0A3F"/>
    <w:rsid w:val="4B7500DD"/>
    <w:rsid w:val="4B7F0FCE"/>
    <w:rsid w:val="4B8414E8"/>
    <w:rsid w:val="4B92472D"/>
    <w:rsid w:val="4BA141BD"/>
    <w:rsid w:val="4BA72650"/>
    <w:rsid w:val="4BAB3C63"/>
    <w:rsid w:val="4BB072A9"/>
    <w:rsid w:val="4BB750D3"/>
    <w:rsid w:val="4BCE772F"/>
    <w:rsid w:val="4BD61903"/>
    <w:rsid w:val="4BE87BD5"/>
    <w:rsid w:val="4BF73DEC"/>
    <w:rsid w:val="4C0575F5"/>
    <w:rsid w:val="4C1A34AE"/>
    <w:rsid w:val="4C1B3759"/>
    <w:rsid w:val="4C27058C"/>
    <w:rsid w:val="4C2722B1"/>
    <w:rsid w:val="4C2F01CE"/>
    <w:rsid w:val="4C50664D"/>
    <w:rsid w:val="4C590A3A"/>
    <w:rsid w:val="4C72098F"/>
    <w:rsid w:val="4CA712F4"/>
    <w:rsid w:val="4CAB6AD3"/>
    <w:rsid w:val="4CBD21C4"/>
    <w:rsid w:val="4CCD7A15"/>
    <w:rsid w:val="4CE077B8"/>
    <w:rsid w:val="4D030ABD"/>
    <w:rsid w:val="4D082A27"/>
    <w:rsid w:val="4D185106"/>
    <w:rsid w:val="4D240959"/>
    <w:rsid w:val="4D2919A9"/>
    <w:rsid w:val="4D327A6B"/>
    <w:rsid w:val="4D33099F"/>
    <w:rsid w:val="4D381304"/>
    <w:rsid w:val="4D3B5852"/>
    <w:rsid w:val="4D4E6042"/>
    <w:rsid w:val="4D557D19"/>
    <w:rsid w:val="4D74536C"/>
    <w:rsid w:val="4D8264B4"/>
    <w:rsid w:val="4DAA6711"/>
    <w:rsid w:val="4DBC7DDF"/>
    <w:rsid w:val="4DC25072"/>
    <w:rsid w:val="4DC93E96"/>
    <w:rsid w:val="4DCA06D7"/>
    <w:rsid w:val="4DCB3F26"/>
    <w:rsid w:val="4DED4E07"/>
    <w:rsid w:val="4E031912"/>
    <w:rsid w:val="4E042961"/>
    <w:rsid w:val="4E2417EF"/>
    <w:rsid w:val="4E3D13F5"/>
    <w:rsid w:val="4E6067DC"/>
    <w:rsid w:val="4E6738C1"/>
    <w:rsid w:val="4E894AFB"/>
    <w:rsid w:val="4E8A2033"/>
    <w:rsid w:val="4E8C5F53"/>
    <w:rsid w:val="4E962C4D"/>
    <w:rsid w:val="4EA5273F"/>
    <w:rsid w:val="4EC66F70"/>
    <w:rsid w:val="4EDC081F"/>
    <w:rsid w:val="4F037154"/>
    <w:rsid w:val="4F1B7069"/>
    <w:rsid w:val="4F1C133D"/>
    <w:rsid w:val="4F230FA4"/>
    <w:rsid w:val="4F2558B8"/>
    <w:rsid w:val="4F2E703E"/>
    <w:rsid w:val="4F311711"/>
    <w:rsid w:val="4F38383D"/>
    <w:rsid w:val="4F3A46D1"/>
    <w:rsid w:val="4F5A0317"/>
    <w:rsid w:val="4F6263A1"/>
    <w:rsid w:val="4F812E23"/>
    <w:rsid w:val="4F90367A"/>
    <w:rsid w:val="4FAF5484"/>
    <w:rsid w:val="4FBA202F"/>
    <w:rsid w:val="4FBE1E97"/>
    <w:rsid w:val="4FDB161F"/>
    <w:rsid w:val="4FE37C20"/>
    <w:rsid w:val="4FFA6D45"/>
    <w:rsid w:val="4FFC0D0F"/>
    <w:rsid w:val="500179C6"/>
    <w:rsid w:val="500B14DD"/>
    <w:rsid w:val="500F5247"/>
    <w:rsid w:val="501B0B10"/>
    <w:rsid w:val="502C4DDB"/>
    <w:rsid w:val="502E5286"/>
    <w:rsid w:val="50315FA0"/>
    <w:rsid w:val="50380225"/>
    <w:rsid w:val="503F29AA"/>
    <w:rsid w:val="504204F5"/>
    <w:rsid w:val="505C0EDE"/>
    <w:rsid w:val="50621D55"/>
    <w:rsid w:val="50623F06"/>
    <w:rsid w:val="507854AC"/>
    <w:rsid w:val="50807A31"/>
    <w:rsid w:val="50A50616"/>
    <w:rsid w:val="50A969AD"/>
    <w:rsid w:val="50AA2E56"/>
    <w:rsid w:val="50B73412"/>
    <w:rsid w:val="50C769B3"/>
    <w:rsid w:val="50C8772E"/>
    <w:rsid w:val="50CA21DC"/>
    <w:rsid w:val="50E1799D"/>
    <w:rsid w:val="50E9541A"/>
    <w:rsid w:val="512E3BE6"/>
    <w:rsid w:val="51434DDA"/>
    <w:rsid w:val="5144471C"/>
    <w:rsid w:val="514A2266"/>
    <w:rsid w:val="5155339E"/>
    <w:rsid w:val="51556929"/>
    <w:rsid w:val="515B7CB7"/>
    <w:rsid w:val="515D43A0"/>
    <w:rsid w:val="515D758B"/>
    <w:rsid w:val="515F5B2E"/>
    <w:rsid w:val="51627723"/>
    <w:rsid w:val="51705511"/>
    <w:rsid w:val="519F2B1E"/>
    <w:rsid w:val="51A63DBE"/>
    <w:rsid w:val="51D84E64"/>
    <w:rsid w:val="520B45DA"/>
    <w:rsid w:val="521A29BC"/>
    <w:rsid w:val="52264B17"/>
    <w:rsid w:val="52336C66"/>
    <w:rsid w:val="52383B54"/>
    <w:rsid w:val="524A6CE7"/>
    <w:rsid w:val="524B227B"/>
    <w:rsid w:val="525E63AA"/>
    <w:rsid w:val="526473FC"/>
    <w:rsid w:val="526E5F84"/>
    <w:rsid w:val="52833E4B"/>
    <w:rsid w:val="52851338"/>
    <w:rsid w:val="529A21FC"/>
    <w:rsid w:val="529C40E3"/>
    <w:rsid w:val="52A017C1"/>
    <w:rsid w:val="52B14033"/>
    <w:rsid w:val="52CD3B7A"/>
    <w:rsid w:val="52D06361"/>
    <w:rsid w:val="52E0333E"/>
    <w:rsid w:val="52E8218C"/>
    <w:rsid w:val="52EA4E4F"/>
    <w:rsid w:val="530E3611"/>
    <w:rsid w:val="531046B1"/>
    <w:rsid w:val="531572D5"/>
    <w:rsid w:val="53303DB9"/>
    <w:rsid w:val="533B1B4E"/>
    <w:rsid w:val="5342286E"/>
    <w:rsid w:val="534A7D84"/>
    <w:rsid w:val="534F1156"/>
    <w:rsid w:val="53503F63"/>
    <w:rsid w:val="536A6530"/>
    <w:rsid w:val="5382530B"/>
    <w:rsid w:val="53867F3F"/>
    <w:rsid w:val="53945ACB"/>
    <w:rsid w:val="539630E7"/>
    <w:rsid w:val="53AB1918"/>
    <w:rsid w:val="53AD7C47"/>
    <w:rsid w:val="53AF28F9"/>
    <w:rsid w:val="53BF0089"/>
    <w:rsid w:val="53C438F3"/>
    <w:rsid w:val="53C515B8"/>
    <w:rsid w:val="53C6184A"/>
    <w:rsid w:val="53CD572A"/>
    <w:rsid w:val="53FF2C1F"/>
    <w:rsid w:val="542645AC"/>
    <w:rsid w:val="544F4F8B"/>
    <w:rsid w:val="54505185"/>
    <w:rsid w:val="54604B7D"/>
    <w:rsid w:val="54606849"/>
    <w:rsid w:val="54757691"/>
    <w:rsid w:val="547D196A"/>
    <w:rsid w:val="547F48FD"/>
    <w:rsid w:val="548B2433"/>
    <w:rsid w:val="548E4328"/>
    <w:rsid w:val="549A1363"/>
    <w:rsid w:val="54A1352D"/>
    <w:rsid w:val="54AD304E"/>
    <w:rsid w:val="54B209CD"/>
    <w:rsid w:val="54E57181"/>
    <w:rsid w:val="54EF0564"/>
    <w:rsid w:val="54F00716"/>
    <w:rsid w:val="54F636F9"/>
    <w:rsid w:val="5509523F"/>
    <w:rsid w:val="550A1E6C"/>
    <w:rsid w:val="550D6267"/>
    <w:rsid w:val="55172C05"/>
    <w:rsid w:val="55431DC9"/>
    <w:rsid w:val="55465A30"/>
    <w:rsid w:val="55834BD7"/>
    <w:rsid w:val="55B654BC"/>
    <w:rsid w:val="55B85A61"/>
    <w:rsid w:val="55E1109D"/>
    <w:rsid w:val="55F8500C"/>
    <w:rsid w:val="56020AD3"/>
    <w:rsid w:val="560B6BBF"/>
    <w:rsid w:val="560C7590"/>
    <w:rsid w:val="561623FF"/>
    <w:rsid w:val="561B6233"/>
    <w:rsid w:val="56477A17"/>
    <w:rsid w:val="56521D99"/>
    <w:rsid w:val="56625644"/>
    <w:rsid w:val="56630C72"/>
    <w:rsid w:val="5669564E"/>
    <w:rsid w:val="56794E67"/>
    <w:rsid w:val="56A4745A"/>
    <w:rsid w:val="56AC14B7"/>
    <w:rsid w:val="56BD145F"/>
    <w:rsid w:val="56DC443A"/>
    <w:rsid w:val="56E21EB5"/>
    <w:rsid w:val="571E77BD"/>
    <w:rsid w:val="572823EA"/>
    <w:rsid w:val="57284198"/>
    <w:rsid w:val="5741606F"/>
    <w:rsid w:val="57422148"/>
    <w:rsid w:val="57473A52"/>
    <w:rsid w:val="574B58E9"/>
    <w:rsid w:val="57596F01"/>
    <w:rsid w:val="577613A7"/>
    <w:rsid w:val="57A05FC0"/>
    <w:rsid w:val="57B97316"/>
    <w:rsid w:val="57BD64BE"/>
    <w:rsid w:val="57D31D82"/>
    <w:rsid w:val="57DB03D5"/>
    <w:rsid w:val="57DC35A3"/>
    <w:rsid w:val="57DF45DF"/>
    <w:rsid w:val="57F018AC"/>
    <w:rsid w:val="57F23796"/>
    <w:rsid w:val="57F37EAC"/>
    <w:rsid w:val="580C1A39"/>
    <w:rsid w:val="58170596"/>
    <w:rsid w:val="581F43D4"/>
    <w:rsid w:val="582F1556"/>
    <w:rsid w:val="58302CEC"/>
    <w:rsid w:val="584D305F"/>
    <w:rsid w:val="58776AFE"/>
    <w:rsid w:val="58891994"/>
    <w:rsid w:val="58906498"/>
    <w:rsid w:val="589560AB"/>
    <w:rsid w:val="58967095"/>
    <w:rsid w:val="58975387"/>
    <w:rsid w:val="5899531B"/>
    <w:rsid w:val="58A27F7A"/>
    <w:rsid w:val="58A7331C"/>
    <w:rsid w:val="58C44394"/>
    <w:rsid w:val="58C93D31"/>
    <w:rsid w:val="58CF79EF"/>
    <w:rsid w:val="58D17CA0"/>
    <w:rsid w:val="58DC348C"/>
    <w:rsid w:val="58E467DB"/>
    <w:rsid w:val="58E6531D"/>
    <w:rsid w:val="58E65719"/>
    <w:rsid w:val="58E84A36"/>
    <w:rsid w:val="592F6418"/>
    <w:rsid w:val="593F425A"/>
    <w:rsid w:val="59404C3F"/>
    <w:rsid w:val="59537BCD"/>
    <w:rsid w:val="59931EEE"/>
    <w:rsid w:val="599C7BAB"/>
    <w:rsid w:val="59AA62A8"/>
    <w:rsid w:val="59AC5554"/>
    <w:rsid w:val="59B72E14"/>
    <w:rsid w:val="59C85C18"/>
    <w:rsid w:val="59CD1372"/>
    <w:rsid w:val="59D65857"/>
    <w:rsid w:val="59D67A17"/>
    <w:rsid w:val="59DC4258"/>
    <w:rsid w:val="59DD2781"/>
    <w:rsid w:val="59FF3A1B"/>
    <w:rsid w:val="5A037DBA"/>
    <w:rsid w:val="5A0A4E25"/>
    <w:rsid w:val="5A0A52D1"/>
    <w:rsid w:val="5A2A0DEB"/>
    <w:rsid w:val="5A320248"/>
    <w:rsid w:val="5A3D0FB9"/>
    <w:rsid w:val="5A3F7A2A"/>
    <w:rsid w:val="5A440D9C"/>
    <w:rsid w:val="5A4D5A7D"/>
    <w:rsid w:val="5A524A59"/>
    <w:rsid w:val="5A5917FB"/>
    <w:rsid w:val="5A7A3E29"/>
    <w:rsid w:val="5A8747CA"/>
    <w:rsid w:val="5A8822A5"/>
    <w:rsid w:val="5A993AE0"/>
    <w:rsid w:val="5AB94C89"/>
    <w:rsid w:val="5AC12272"/>
    <w:rsid w:val="5ADB7E2C"/>
    <w:rsid w:val="5AE42ACB"/>
    <w:rsid w:val="5AF6159B"/>
    <w:rsid w:val="5AF727FF"/>
    <w:rsid w:val="5B092532"/>
    <w:rsid w:val="5B362784"/>
    <w:rsid w:val="5B687BB4"/>
    <w:rsid w:val="5B785C47"/>
    <w:rsid w:val="5B9D195E"/>
    <w:rsid w:val="5BB27B9F"/>
    <w:rsid w:val="5BC47C2C"/>
    <w:rsid w:val="5BC546AB"/>
    <w:rsid w:val="5BCC3682"/>
    <w:rsid w:val="5BD029DD"/>
    <w:rsid w:val="5BDF7EF2"/>
    <w:rsid w:val="5BE2642F"/>
    <w:rsid w:val="5BED3C02"/>
    <w:rsid w:val="5BF6470A"/>
    <w:rsid w:val="5C0E4A08"/>
    <w:rsid w:val="5C2F0079"/>
    <w:rsid w:val="5C414574"/>
    <w:rsid w:val="5C482CF9"/>
    <w:rsid w:val="5C6739B4"/>
    <w:rsid w:val="5C6B30CA"/>
    <w:rsid w:val="5C6E7657"/>
    <w:rsid w:val="5C73630F"/>
    <w:rsid w:val="5C7436FC"/>
    <w:rsid w:val="5C753082"/>
    <w:rsid w:val="5C82148D"/>
    <w:rsid w:val="5C9F6CAA"/>
    <w:rsid w:val="5CAF5997"/>
    <w:rsid w:val="5CB5307C"/>
    <w:rsid w:val="5CC6602A"/>
    <w:rsid w:val="5CD91474"/>
    <w:rsid w:val="5CE00B30"/>
    <w:rsid w:val="5CE244EE"/>
    <w:rsid w:val="5CEB4B41"/>
    <w:rsid w:val="5CEC176B"/>
    <w:rsid w:val="5CEF0CF1"/>
    <w:rsid w:val="5CF039A9"/>
    <w:rsid w:val="5CF07506"/>
    <w:rsid w:val="5D117C05"/>
    <w:rsid w:val="5D134006"/>
    <w:rsid w:val="5D3C3A0B"/>
    <w:rsid w:val="5D591C03"/>
    <w:rsid w:val="5D6D1D4A"/>
    <w:rsid w:val="5D73706F"/>
    <w:rsid w:val="5D784809"/>
    <w:rsid w:val="5D834237"/>
    <w:rsid w:val="5D87184B"/>
    <w:rsid w:val="5DA45E6C"/>
    <w:rsid w:val="5DCF6A07"/>
    <w:rsid w:val="5DD04CA0"/>
    <w:rsid w:val="5E0D15D5"/>
    <w:rsid w:val="5E1A39B8"/>
    <w:rsid w:val="5E54743C"/>
    <w:rsid w:val="5E5A539A"/>
    <w:rsid w:val="5E5A5A44"/>
    <w:rsid w:val="5E745DF8"/>
    <w:rsid w:val="5E853EDA"/>
    <w:rsid w:val="5EA92966"/>
    <w:rsid w:val="5EAF1528"/>
    <w:rsid w:val="5EB03E3E"/>
    <w:rsid w:val="5ECB16CE"/>
    <w:rsid w:val="5ED423D2"/>
    <w:rsid w:val="5EE70DDC"/>
    <w:rsid w:val="5EEC7A55"/>
    <w:rsid w:val="5EF75DA6"/>
    <w:rsid w:val="5EF86B45"/>
    <w:rsid w:val="5EFC108B"/>
    <w:rsid w:val="5EFD524E"/>
    <w:rsid w:val="5F2737D9"/>
    <w:rsid w:val="5F3C0003"/>
    <w:rsid w:val="5F493F67"/>
    <w:rsid w:val="5F4D4B85"/>
    <w:rsid w:val="5F5138FF"/>
    <w:rsid w:val="5F69713D"/>
    <w:rsid w:val="5F8E254C"/>
    <w:rsid w:val="5F8F3EEC"/>
    <w:rsid w:val="5F9F3465"/>
    <w:rsid w:val="5FB02EA5"/>
    <w:rsid w:val="5FBA0165"/>
    <w:rsid w:val="5FBE38EB"/>
    <w:rsid w:val="5FD91718"/>
    <w:rsid w:val="5FE42F24"/>
    <w:rsid w:val="5FFE7F5F"/>
    <w:rsid w:val="60157FFC"/>
    <w:rsid w:val="601949D5"/>
    <w:rsid w:val="602853C6"/>
    <w:rsid w:val="604422A0"/>
    <w:rsid w:val="605204D7"/>
    <w:rsid w:val="605D3DD5"/>
    <w:rsid w:val="607657B3"/>
    <w:rsid w:val="608763D3"/>
    <w:rsid w:val="60917251"/>
    <w:rsid w:val="60934D78"/>
    <w:rsid w:val="609805E0"/>
    <w:rsid w:val="60997EB4"/>
    <w:rsid w:val="60A32AE1"/>
    <w:rsid w:val="60B847DE"/>
    <w:rsid w:val="60C114B8"/>
    <w:rsid w:val="60C32455"/>
    <w:rsid w:val="60CF7B49"/>
    <w:rsid w:val="60D513B4"/>
    <w:rsid w:val="60DB4E78"/>
    <w:rsid w:val="60E255DB"/>
    <w:rsid w:val="60F5158E"/>
    <w:rsid w:val="60FC610F"/>
    <w:rsid w:val="60FF3556"/>
    <w:rsid w:val="6102449D"/>
    <w:rsid w:val="61151C31"/>
    <w:rsid w:val="613D499E"/>
    <w:rsid w:val="6167100B"/>
    <w:rsid w:val="61785D1C"/>
    <w:rsid w:val="618C6273"/>
    <w:rsid w:val="6198580D"/>
    <w:rsid w:val="61AE0551"/>
    <w:rsid w:val="61BC02FE"/>
    <w:rsid w:val="61C041D1"/>
    <w:rsid w:val="61FB5FB2"/>
    <w:rsid w:val="61FD6889"/>
    <w:rsid w:val="62043670"/>
    <w:rsid w:val="620B33A3"/>
    <w:rsid w:val="620D2967"/>
    <w:rsid w:val="6210434D"/>
    <w:rsid w:val="62287742"/>
    <w:rsid w:val="62371F2F"/>
    <w:rsid w:val="623C43F2"/>
    <w:rsid w:val="6267501F"/>
    <w:rsid w:val="626A0E41"/>
    <w:rsid w:val="6273289C"/>
    <w:rsid w:val="62797F9D"/>
    <w:rsid w:val="627A08E4"/>
    <w:rsid w:val="628E0BF7"/>
    <w:rsid w:val="62A36D09"/>
    <w:rsid w:val="62A80882"/>
    <w:rsid w:val="62BB55EB"/>
    <w:rsid w:val="62BE1E54"/>
    <w:rsid w:val="62BF2153"/>
    <w:rsid w:val="62C67EDD"/>
    <w:rsid w:val="62F24DA2"/>
    <w:rsid w:val="62FA10DE"/>
    <w:rsid w:val="6302027F"/>
    <w:rsid w:val="630C51DA"/>
    <w:rsid w:val="633B2803"/>
    <w:rsid w:val="635B58F5"/>
    <w:rsid w:val="635C3B47"/>
    <w:rsid w:val="636B0615"/>
    <w:rsid w:val="638B4153"/>
    <w:rsid w:val="638C4FFD"/>
    <w:rsid w:val="63936A89"/>
    <w:rsid w:val="639A1C1B"/>
    <w:rsid w:val="639D00BE"/>
    <w:rsid w:val="63A8135A"/>
    <w:rsid w:val="63BB5505"/>
    <w:rsid w:val="63C21C7F"/>
    <w:rsid w:val="63CD67E1"/>
    <w:rsid w:val="63D76F5F"/>
    <w:rsid w:val="63E03DF4"/>
    <w:rsid w:val="63EA1C5D"/>
    <w:rsid w:val="63F160B6"/>
    <w:rsid w:val="64033FC2"/>
    <w:rsid w:val="641F11F1"/>
    <w:rsid w:val="642007FE"/>
    <w:rsid w:val="6429369B"/>
    <w:rsid w:val="64370281"/>
    <w:rsid w:val="64394639"/>
    <w:rsid w:val="643B3B82"/>
    <w:rsid w:val="64496831"/>
    <w:rsid w:val="644D10EE"/>
    <w:rsid w:val="644D317A"/>
    <w:rsid w:val="644E6DE9"/>
    <w:rsid w:val="647153D0"/>
    <w:rsid w:val="649B5929"/>
    <w:rsid w:val="64AD0BB8"/>
    <w:rsid w:val="64CA2D32"/>
    <w:rsid w:val="64E420B7"/>
    <w:rsid w:val="64E54750"/>
    <w:rsid w:val="64E77440"/>
    <w:rsid w:val="64E81339"/>
    <w:rsid w:val="64F34037"/>
    <w:rsid w:val="64F71E7F"/>
    <w:rsid w:val="6500743F"/>
    <w:rsid w:val="65042AD2"/>
    <w:rsid w:val="6506182D"/>
    <w:rsid w:val="650E5E50"/>
    <w:rsid w:val="65262512"/>
    <w:rsid w:val="652D2F6E"/>
    <w:rsid w:val="65564EB9"/>
    <w:rsid w:val="658315FB"/>
    <w:rsid w:val="65A5735C"/>
    <w:rsid w:val="65A77DAC"/>
    <w:rsid w:val="65C21C5B"/>
    <w:rsid w:val="65E33C03"/>
    <w:rsid w:val="65E91633"/>
    <w:rsid w:val="65FA63E2"/>
    <w:rsid w:val="660B1836"/>
    <w:rsid w:val="661D6884"/>
    <w:rsid w:val="662326FA"/>
    <w:rsid w:val="66236C22"/>
    <w:rsid w:val="66325ED7"/>
    <w:rsid w:val="66340CCA"/>
    <w:rsid w:val="663D34C1"/>
    <w:rsid w:val="664005CF"/>
    <w:rsid w:val="664124DE"/>
    <w:rsid w:val="66451EFB"/>
    <w:rsid w:val="66482160"/>
    <w:rsid w:val="6648485C"/>
    <w:rsid w:val="664F108D"/>
    <w:rsid w:val="665778A3"/>
    <w:rsid w:val="665E7BD6"/>
    <w:rsid w:val="666105D9"/>
    <w:rsid w:val="66674C28"/>
    <w:rsid w:val="66707909"/>
    <w:rsid w:val="66874AB9"/>
    <w:rsid w:val="66973C6E"/>
    <w:rsid w:val="66C832A1"/>
    <w:rsid w:val="66CB680A"/>
    <w:rsid w:val="66D12E06"/>
    <w:rsid w:val="66D835E0"/>
    <w:rsid w:val="66DB040B"/>
    <w:rsid w:val="66DC7E12"/>
    <w:rsid w:val="66EB5B68"/>
    <w:rsid w:val="67000C8D"/>
    <w:rsid w:val="671563F7"/>
    <w:rsid w:val="672A7AB8"/>
    <w:rsid w:val="67596F0A"/>
    <w:rsid w:val="67753429"/>
    <w:rsid w:val="67791BE7"/>
    <w:rsid w:val="677F340F"/>
    <w:rsid w:val="679F707A"/>
    <w:rsid w:val="67C312AB"/>
    <w:rsid w:val="67C5730B"/>
    <w:rsid w:val="67CE7D6E"/>
    <w:rsid w:val="67DD3693"/>
    <w:rsid w:val="67E70040"/>
    <w:rsid w:val="67EF3905"/>
    <w:rsid w:val="680E7E1D"/>
    <w:rsid w:val="682A054B"/>
    <w:rsid w:val="68346A2A"/>
    <w:rsid w:val="68381B82"/>
    <w:rsid w:val="683B5677"/>
    <w:rsid w:val="68532A38"/>
    <w:rsid w:val="68547C0A"/>
    <w:rsid w:val="6857361B"/>
    <w:rsid w:val="685A43CD"/>
    <w:rsid w:val="687D24EA"/>
    <w:rsid w:val="688B66D0"/>
    <w:rsid w:val="688C2FA8"/>
    <w:rsid w:val="6895008C"/>
    <w:rsid w:val="689C07CF"/>
    <w:rsid w:val="689E3EB1"/>
    <w:rsid w:val="68A01308"/>
    <w:rsid w:val="68A16DC6"/>
    <w:rsid w:val="68A434FE"/>
    <w:rsid w:val="68CD29DA"/>
    <w:rsid w:val="68CD349A"/>
    <w:rsid w:val="68D0110E"/>
    <w:rsid w:val="690909E1"/>
    <w:rsid w:val="690C3974"/>
    <w:rsid w:val="69116892"/>
    <w:rsid w:val="69184E7B"/>
    <w:rsid w:val="69206985"/>
    <w:rsid w:val="69237CC6"/>
    <w:rsid w:val="6927013A"/>
    <w:rsid w:val="692E7302"/>
    <w:rsid w:val="693C6F9D"/>
    <w:rsid w:val="694133C5"/>
    <w:rsid w:val="69527488"/>
    <w:rsid w:val="69542CF4"/>
    <w:rsid w:val="695B7A09"/>
    <w:rsid w:val="696644CE"/>
    <w:rsid w:val="6978196C"/>
    <w:rsid w:val="69816B39"/>
    <w:rsid w:val="698A7F0B"/>
    <w:rsid w:val="69A05D23"/>
    <w:rsid w:val="69A82739"/>
    <w:rsid w:val="69D02B99"/>
    <w:rsid w:val="69D361E5"/>
    <w:rsid w:val="69D51999"/>
    <w:rsid w:val="6A0C2243"/>
    <w:rsid w:val="6A2B4D98"/>
    <w:rsid w:val="6A3B3D8A"/>
    <w:rsid w:val="6A4120F3"/>
    <w:rsid w:val="6A545421"/>
    <w:rsid w:val="6A7D7F45"/>
    <w:rsid w:val="6A84312B"/>
    <w:rsid w:val="6A8712A5"/>
    <w:rsid w:val="6A90081E"/>
    <w:rsid w:val="6A920310"/>
    <w:rsid w:val="6A9613EB"/>
    <w:rsid w:val="6A9E2C97"/>
    <w:rsid w:val="6AA23D1C"/>
    <w:rsid w:val="6AAA0736"/>
    <w:rsid w:val="6AB9301E"/>
    <w:rsid w:val="6AE758D2"/>
    <w:rsid w:val="6AFD0F99"/>
    <w:rsid w:val="6B176A59"/>
    <w:rsid w:val="6B207B33"/>
    <w:rsid w:val="6B3B4872"/>
    <w:rsid w:val="6B3E17AA"/>
    <w:rsid w:val="6B4056AD"/>
    <w:rsid w:val="6B473581"/>
    <w:rsid w:val="6B5B7713"/>
    <w:rsid w:val="6B6D4417"/>
    <w:rsid w:val="6B6F27D1"/>
    <w:rsid w:val="6B8230C1"/>
    <w:rsid w:val="6BBF230D"/>
    <w:rsid w:val="6BC6383E"/>
    <w:rsid w:val="6BC6451C"/>
    <w:rsid w:val="6BC920B8"/>
    <w:rsid w:val="6BCC5AF5"/>
    <w:rsid w:val="6BD51E58"/>
    <w:rsid w:val="6BDD77EF"/>
    <w:rsid w:val="6BF51DB5"/>
    <w:rsid w:val="6BF92BC2"/>
    <w:rsid w:val="6C046281"/>
    <w:rsid w:val="6C0F35A2"/>
    <w:rsid w:val="6C284750"/>
    <w:rsid w:val="6C36516A"/>
    <w:rsid w:val="6C3E1BF3"/>
    <w:rsid w:val="6C483BD0"/>
    <w:rsid w:val="6C4E63E6"/>
    <w:rsid w:val="6C6227CC"/>
    <w:rsid w:val="6C6611A8"/>
    <w:rsid w:val="6C6C62B0"/>
    <w:rsid w:val="6C731F01"/>
    <w:rsid w:val="6C762871"/>
    <w:rsid w:val="6C807385"/>
    <w:rsid w:val="6C865233"/>
    <w:rsid w:val="6CAD71C1"/>
    <w:rsid w:val="6CB470AD"/>
    <w:rsid w:val="6CE30E35"/>
    <w:rsid w:val="6CF72A59"/>
    <w:rsid w:val="6CFD2137"/>
    <w:rsid w:val="6D1877B2"/>
    <w:rsid w:val="6D256B68"/>
    <w:rsid w:val="6D384FFA"/>
    <w:rsid w:val="6D520EE4"/>
    <w:rsid w:val="6D6214BE"/>
    <w:rsid w:val="6D747CDF"/>
    <w:rsid w:val="6D9F3DC4"/>
    <w:rsid w:val="6DA20204"/>
    <w:rsid w:val="6DC04335"/>
    <w:rsid w:val="6DC50AF4"/>
    <w:rsid w:val="6DCA78FF"/>
    <w:rsid w:val="6DD04177"/>
    <w:rsid w:val="6DD8026E"/>
    <w:rsid w:val="6DDE4C53"/>
    <w:rsid w:val="6E1C0CA1"/>
    <w:rsid w:val="6E1D536B"/>
    <w:rsid w:val="6E39657E"/>
    <w:rsid w:val="6E3F02ED"/>
    <w:rsid w:val="6E43019F"/>
    <w:rsid w:val="6E7C7CA6"/>
    <w:rsid w:val="6E813CF6"/>
    <w:rsid w:val="6E9A5523"/>
    <w:rsid w:val="6EA87F54"/>
    <w:rsid w:val="6EB036CD"/>
    <w:rsid w:val="6EC151A6"/>
    <w:rsid w:val="6ECD47A1"/>
    <w:rsid w:val="6EDC47E1"/>
    <w:rsid w:val="6EFC34E6"/>
    <w:rsid w:val="6EFD7052"/>
    <w:rsid w:val="6F1B14B6"/>
    <w:rsid w:val="6F250213"/>
    <w:rsid w:val="6F285DE9"/>
    <w:rsid w:val="6F2C3D2E"/>
    <w:rsid w:val="6F2D2A81"/>
    <w:rsid w:val="6F3632B6"/>
    <w:rsid w:val="6F524050"/>
    <w:rsid w:val="6F535F0D"/>
    <w:rsid w:val="6F5C57B4"/>
    <w:rsid w:val="6F756733"/>
    <w:rsid w:val="6F8141FE"/>
    <w:rsid w:val="6F8172B6"/>
    <w:rsid w:val="6F923E20"/>
    <w:rsid w:val="6F9628FD"/>
    <w:rsid w:val="6F967499"/>
    <w:rsid w:val="6F987BF5"/>
    <w:rsid w:val="6FAA79E8"/>
    <w:rsid w:val="6FB9708B"/>
    <w:rsid w:val="6FC63E74"/>
    <w:rsid w:val="6FD04D90"/>
    <w:rsid w:val="6FD234D8"/>
    <w:rsid w:val="6FFB2B78"/>
    <w:rsid w:val="701369A9"/>
    <w:rsid w:val="70276D65"/>
    <w:rsid w:val="702B43C5"/>
    <w:rsid w:val="703A7ADF"/>
    <w:rsid w:val="70494AD4"/>
    <w:rsid w:val="704D3901"/>
    <w:rsid w:val="70534563"/>
    <w:rsid w:val="70536915"/>
    <w:rsid w:val="705C5E7E"/>
    <w:rsid w:val="70653960"/>
    <w:rsid w:val="7084443B"/>
    <w:rsid w:val="70866DFD"/>
    <w:rsid w:val="7097362A"/>
    <w:rsid w:val="709D1F52"/>
    <w:rsid w:val="70AB58F3"/>
    <w:rsid w:val="70AE6124"/>
    <w:rsid w:val="70AF55E6"/>
    <w:rsid w:val="70BB10BE"/>
    <w:rsid w:val="70C01B80"/>
    <w:rsid w:val="70C62032"/>
    <w:rsid w:val="70EB7333"/>
    <w:rsid w:val="70F51137"/>
    <w:rsid w:val="70F54800"/>
    <w:rsid w:val="70FC069F"/>
    <w:rsid w:val="71230C27"/>
    <w:rsid w:val="713C6D66"/>
    <w:rsid w:val="71452CB0"/>
    <w:rsid w:val="716342F2"/>
    <w:rsid w:val="71651FA4"/>
    <w:rsid w:val="716801C2"/>
    <w:rsid w:val="717C3606"/>
    <w:rsid w:val="71830E49"/>
    <w:rsid w:val="718E13AD"/>
    <w:rsid w:val="7197721B"/>
    <w:rsid w:val="71B513FD"/>
    <w:rsid w:val="71B64A87"/>
    <w:rsid w:val="71BC2020"/>
    <w:rsid w:val="71C034F3"/>
    <w:rsid w:val="71C30E57"/>
    <w:rsid w:val="71C47C36"/>
    <w:rsid w:val="71CD0A4C"/>
    <w:rsid w:val="71D17AC3"/>
    <w:rsid w:val="71D524C3"/>
    <w:rsid w:val="71E366A6"/>
    <w:rsid w:val="71E70C93"/>
    <w:rsid w:val="71FA2B48"/>
    <w:rsid w:val="720A74FE"/>
    <w:rsid w:val="721747C2"/>
    <w:rsid w:val="721D7D07"/>
    <w:rsid w:val="72587BCF"/>
    <w:rsid w:val="725D2241"/>
    <w:rsid w:val="725D3A93"/>
    <w:rsid w:val="727647A8"/>
    <w:rsid w:val="72836F72"/>
    <w:rsid w:val="728A477D"/>
    <w:rsid w:val="72A74132"/>
    <w:rsid w:val="72BA16C0"/>
    <w:rsid w:val="72C11B69"/>
    <w:rsid w:val="72C455FD"/>
    <w:rsid w:val="72CE7407"/>
    <w:rsid w:val="72CF0083"/>
    <w:rsid w:val="72D57472"/>
    <w:rsid w:val="72DB73AA"/>
    <w:rsid w:val="72EE6EE7"/>
    <w:rsid w:val="72F85CE7"/>
    <w:rsid w:val="72F86151"/>
    <w:rsid w:val="72FA6ED8"/>
    <w:rsid w:val="73056AC6"/>
    <w:rsid w:val="73372343"/>
    <w:rsid w:val="73376EE5"/>
    <w:rsid w:val="733F5DDA"/>
    <w:rsid w:val="734819F2"/>
    <w:rsid w:val="734F6D72"/>
    <w:rsid w:val="73525C29"/>
    <w:rsid w:val="735270ED"/>
    <w:rsid w:val="73577E87"/>
    <w:rsid w:val="736C6BE3"/>
    <w:rsid w:val="73814303"/>
    <w:rsid w:val="73857ECD"/>
    <w:rsid w:val="73893DB8"/>
    <w:rsid w:val="739D0386"/>
    <w:rsid w:val="73A62BBC"/>
    <w:rsid w:val="73AF0232"/>
    <w:rsid w:val="73C30CA3"/>
    <w:rsid w:val="73CC6DA4"/>
    <w:rsid w:val="73CE03B6"/>
    <w:rsid w:val="73D34646"/>
    <w:rsid w:val="73D847F6"/>
    <w:rsid w:val="73DE4104"/>
    <w:rsid w:val="73F43B4F"/>
    <w:rsid w:val="73FF2FF1"/>
    <w:rsid w:val="741E179D"/>
    <w:rsid w:val="742D46EB"/>
    <w:rsid w:val="743A613D"/>
    <w:rsid w:val="743C61F0"/>
    <w:rsid w:val="74407B88"/>
    <w:rsid w:val="747D391D"/>
    <w:rsid w:val="748E46DA"/>
    <w:rsid w:val="749C5648"/>
    <w:rsid w:val="74A4030B"/>
    <w:rsid w:val="74B4456E"/>
    <w:rsid w:val="74B60BDD"/>
    <w:rsid w:val="74B919EF"/>
    <w:rsid w:val="74BD70E9"/>
    <w:rsid w:val="74CA7B2B"/>
    <w:rsid w:val="74E95958"/>
    <w:rsid w:val="750702B5"/>
    <w:rsid w:val="75071274"/>
    <w:rsid w:val="75091244"/>
    <w:rsid w:val="75112232"/>
    <w:rsid w:val="75175B20"/>
    <w:rsid w:val="751E4F11"/>
    <w:rsid w:val="75316913"/>
    <w:rsid w:val="753C34AD"/>
    <w:rsid w:val="753D34F4"/>
    <w:rsid w:val="754502FA"/>
    <w:rsid w:val="754E5B1A"/>
    <w:rsid w:val="75504EDD"/>
    <w:rsid w:val="75553D4E"/>
    <w:rsid w:val="756248C1"/>
    <w:rsid w:val="756844B4"/>
    <w:rsid w:val="757901BF"/>
    <w:rsid w:val="757C5983"/>
    <w:rsid w:val="758B054B"/>
    <w:rsid w:val="758B7C9A"/>
    <w:rsid w:val="75A00E33"/>
    <w:rsid w:val="75A44ED9"/>
    <w:rsid w:val="75A7095C"/>
    <w:rsid w:val="75B45F7B"/>
    <w:rsid w:val="75BD6B49"/>
    <w:rsid w:val="75D14DE5"/>
    <w:rsid w:val="75D40B91"/>
    <w:rsid w:val="75D47627"/>
    <w:rsid w:val="761E79F6"/>
    <w:rsid w:val="762A1096"/>
    <w:rsid w:val="764F3097"/>
    <w:rsid w:val="76591D4B"/>
    <w:rsid w:val="765D7818"/>
    <w:rsid w:val="766F23D4"/>
    <w:rsid w:val="76756C6E"/>
    <w:rsid w:val="76A705EB"/>
    <w:rsid w:val="76CB312C"/>
    <w:rsid w:val="76CB51BA"/>
    <w:rsid w:val="76CD7491"/>
    <w:rsid w:val="76CD7B70"/>
    <w:rsid w:val="76D105CB"/>
    <w:rsid w:val="76D53F2D"/>
    <w:rsid w:val="76F2738E"/>
    <w:rsid w:val="771E3EB5"/>
    <w:rsid w:val="77214151"/>
    <w:rsid w:val="772273EF"/>
    <w:rsid w:val="77326052"/>
    <w:rsid w:val="77493F8A"/>
    <w:rsid w:val="775C2E1F"/>
    <w:rsid w:val="775F6B1A"/>
    <w:rsid w:val="776B4998"/>
    <w:rsid w:val="77746EF5"/>
    <w:rsid w:val="777D0D07"/>
    <w:rsid w:val="77806E47"/>
    <w:rsid w:val="778438B0"/>
    <w:rsid w:val="77B57F8B"/>
    <w:rsid w:val="77BD20C4"/>
    <w:rsid w:val="77C33189"/>
    <w:rsid w:val="77D60B29"/>
    <w:rsid w:val="77E26340"/>
    <w:rsid w:val="77F03269"/>
    <w:rsid w:val="780E170A"/>
    <w:rsid w:val="782B6374"/>
    <w:rsid w:val="78441C9D"/>
    <w:rsid w:val="78510FEE"/>
    <w:rsid w:val="786A2B73"/>
    <w:rsid w:val="786F432F"/>
    <w:rsid w:val="78820731"/>
    <w:rsid w:val="7889516A"/>
    <w:rsid w:val="788D6C05"/>
    <w:rsid w:val="78947D44"/>
    <w:rsid w:val="7899504B"/>
    <w:rsid w:val="78A05E2C"/>
    <w:rsid w:val="78A26ABB"/>
    <w:rsid w:val="78A80F26"/>
    <w:rsid w:val="78C33BF6"/>
    <w:rsid w:val="78C4186C"/>
    <w:rsid w:val="78C55892"/>
    <w:rsid w:val="78D7071C"/>
    <w:rsid w:val="78DF17F7"/>
    <w:rsid w:val="78E57D48"/>
    <w:rsid w:val="78FC1F76"/>
    <w:rsid w:val="79100177"/>
    <w:rsid w:val="79206C64"/>
    <w:rsid w:val="79234B75"/>
    <w:rsid w:val="792735E7"/>
    <w:rsid w:val="7941092C"/>
    <w:rsid w:val="794B758A"/>
    <w:rsid w:val="794C5FB4"/>
    <w:rsid w:val="7956298E"/>
    <w:rsid w:val="79600F04"/>
    <w:rsid w:val="79660E24"/>
    <w:rsid w:val="797B46B3"/>
    <w:rsid w:val="798C593E"/>
    <w:rsid w:val="79BB09CE"/>
    <w:rsid w:val="79BB2A57"/>
    <w:rsid w:val="79E65AC0"/>
    <w:rsid w:val="79EA1A55"/>
    <w:rsid w:val="79F472C2"/>
    <w:rsid w:val="79FB0954"/>
    <w:rsid w:val="7A100B86"/>
    <w:rsid w:val="7A116F4F"/>
    <w:rsid w:val="7A1460B8"/>
    <w:rsid w:val="7A357553"/>
    <w:rsid w:val="7A3E58FC"/>
    <w:rsid w:val="7A441C83"/>
    <w:rsid w:val="7A46507A"/>
    <w:rsid w:val="7A482681"/>
    <w:rsid w:val="7A505A22"/>
    <w:rsid w:val="7A606CD7"/>
    <w:rsid w:val="7A720DAE"/>
    <w:rsid w:val="7A7464FA"/>
    <w:rsid w:val="7A747570"/>
    <w:rsid w:val="7A7C6425"/>
    <w:rsid w:val="7A860D7C"/>
    <w:rsid w:val="7AA36466"/>
    <w:rsid w:val="7AB5238F"/>
    <w:rsid w:val="7AB813DB"/>
    <w:rsid w:val="7ABB43A1"/>
    <w:rsid w:val="7ACB5DF6"/>
    <w:rsid w:val="7AE65A77"/>
    <w:rsid w:val="7B011018"/>
    <w:rsid w:val="7B187A25"/>
    <w:rsid w:val="7B2835B9"/>
    <w:rsid w:val="7B2C0369"/>
    <w:rsid w:val="7B51104F"/>
    <w:rsid w:val="7B5B1F9C"/>
    <w:rsid w:val="7B9319A0"/>
    <w:rsid w:val="7B9C1112"/>
    <w:rsid w:val="7B9D7C98"/>
    <w:rsid w:val="7BA25C26"/>
    <w:rsid w:val="7BA60952"/>
    <w:rsid w:val="7BA917F4"/>
    <w:rsid w:val="7BB711AB"/>
    <w:rsid w:val="7BC30753"/>
    <w:rsid w:val="7BC76594"/>
    <w:rsid w:val="7BDE32FA"/>
    <w:rsid w:val="7BE14791"/>
    <w:rsid w:val="7BED43E1"/>
    <w:rsid w:val="7BEE1492"/>
    <w:rsid w:val="7BF7279C"/>
    <w:rsid w:val="7C0B5CB2"/>
    <w:rsid w:val="7C18697D"/>
    <w:rsid w:val="7C192F14"/>
    <w:rsid w:val="7C1F0080"/>
    <w:rsid w:val="7C204CE5"/>
    <w:rsid w:val="7C3522B8"/>
    <w:rsid w:val="7C367A74"/>
    <w:rsid w:val="7C4F1C35"/>
    <w:rsid w:val="7C5315E7"/>
    <w:rsid w:val="7C571DD2"/>
    <w:rsid w:val="7C6121D4"/>
    <w:rsid w:val="7C6322C9"/>
    <w:rsid w:val="7C647170"/>
    <w:rsid w:val="7C75137E"/>
    <w:rsid w:val="7C8C2D45"/>
    <w:rsid w:val="7CA659DB"/>
    <w:rsid w:val="7CB97B25"/>
    <w:rsid w:val="7CD85306"/>
    <w:rsid w:val="7CD93564"/>
    <w:rsid w:val="7CDC3A5B"/>
    <w:rsid w:val="7CDC7EEF"/>
    <w:rsid w:val="7CE85FF3"/>
    <w:rsid w:val="7D0270E2"/>
    <w:rsid w:val="7D064F2E"/>
    <w:rsid w:val="7D0847C6"/>
    <w:rsid w:val="7D0E3730"/>
    <w:rsid w:val="7D1B1F25"/>
    <w:rsid w:val="7D2578EC"/>
    <w:rsid w:val="7D2608A0"/>
    <w:rsid w:val="7D2817B2"/>
    <w:rsid w:val="7D354D57"/>
    <w:rsid w:val="7D665D69"/>
    <w:rsid w:val="7D741635"/>
    <w:rsid w:val="7D7A4D54"/>
    <w:rsid w:val="7D874C6D"/>
    <w:rsid w:val="7D9209BE"/>
    <w:rsid w:val="7D9C64FC"/>
    <w:rsid w:val="7DAF34E4"/>
    <w:rsid w:val="7DB54133"/>
    <w:rsid w:val="7DBB1E4F"/>
    <w:rsid w:val="7DC74C85"/>
    <w:rsid w:val="7DD239F1"/>
    <w:rsid w:val="7DD248AA"/>
    <w:rsid w:val="7DD622DC"/>
    <w:rsid w:val="7DEF2D35"/>
    <w:rsid w:val="7DFC2874"/>
    <w:rsid w:val="7E1A25CD"/>
    <w:rsid w:val="7E1B1885"/>
    <w:rsid w:val="7E3B0340"/>
    <w:rsid w:val="7E4C681F"/>
    <w:rsid w:val="7E553215"/>
    <w:rsid w:val="7E69345D"/>
    <w:rsid w:val="7E740CF1"/>
    <w:rsid w:val="7E83698B"/>
    <w:rsid w:val="7E8A5F54"/>
    <w:rsid w:val="7E8A657C"/>
    <w:rsid w:val="7EB470A5"/>
    <w:rsid w:val="7EF82EC6"/>
    <w:rsid w:val="7F056492"/>
    <w:rsid w:val="7F0832B1"/>
    <w:rsid w:val="7F0A7540"/>
    <w:rsid w:val="7F277D8F"/>
    <w:rsid w:val="7F3F2564"/>
    <w:rsid w:val="7F44312F"/>
    <w:rsid w:val="7F4734A5"/>
    <w:rsid w:val="7F545E62"/>
    <w:rsid w:val="7F9562D7"/>
    <w:rsid w:val="7FB82564"/>
    <w:rsid w:val="7FBA5A25"/>
    <w:rsid w:val="7FBE72F6"/>
    <w:rsid w:val="7FD911AE"/>
    <w:rsid w:val="7FF03A11"/>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3">
    <w:name w:val="Normal (Web)"/>
    <w:basedOn w:val="1"/>
    <w:semiHidden/>
    <w:unhideWhenUsed/>
    <w:qFormat/>
    <w:uiPriority w:val="99"/>
    <w:pPr>
      <w:widowControl/>
      <w:spacing w:before="100" w:beforeAutospacing="1" w:after="100" w:afterAutospacing="1" w:line="240" w:lineRule="auto"/>
      <w:jc w:val="left"/>
    </w:pPr>
    <w:rPr>
      <w:rFonts w:ascii="宋体" w:hAnsi="宋体" w:cs="宋体"/>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qFormat/>
    <w:uiPriority w:val="22"/>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2021-03-06T13:24:00Z</dcterms:created>
  <dc:creator>Administrator</dc:creator>
  <cp:lastModifiedBy>陈科</cp:lastModifiedBy>
  <dcterms:modified xsi:type="dcterms:W3CDTF">2021-12-02T00:56:39Z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CAB1AF2145BE41BBA9C684A4950FDEC0</vt:lpwstr>
  </property>
</Properties>
</file>